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ink="http://schemas.microsoft.com/office/drawing/2016/ink" xmlns:w16du="http://schemas.microsoft.com/office/word/2023/wordml/word16du" xmlns:w16se="http://schemas.microsoft.com/office/word/2015/wordml/symex" xmlns:w16sdtdh="http://schemas.microsoft.com/office/word/2020/wordml/sdtdatahash" xmlns:am3d="http://schemas.microsoft.com/office/drawing/2017/model3d" xmlns:oel="http://schemas.microsoft.com/office/2019/extlst"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cx="http://schemas.microsoft.com/office/drawing/2014/chartex" xmlns:w16cid="http://schemas.microsoft.com/office/word/2016/wordml/cid" mc:Ignorable="w14 w15 wp14">
  <w:body>
    <w:p w14:paraId="79EEDF30">
      <w:pPr>
        <w:pStyle w:val="17"/>
        <w:ind w:left="420"/>
      </w:pPr>
      <w:r>
        <w:rPr>
          <w:rFonts w:hint="eastAsia"/>
        </w:rPr>
        <w:t>宁银理财宁欣固定收益类封闭式理财1</w:t>
      </w:r>
      <w:r>
        <w:rPr>
          <w:rFonts w:hint="eastAsia"/>
          <w:lang w:val="en-US" w:eastAsia="zh-CN"/>
        </w:rPr>
        <w:t>899</w:t>
      </w:r>
      <w:r>
        <w:rPr>
          <w:rFonts w:hint="eastAsia"/>
        </w:rPr>
        <w:t>号</w:t>
      </w:r>
      <w:r>
        <w:t>产品说明书</w:t>
      </w:r>
    </w:p>
    <w:p w14:paraId="1392A23E">
      <w:pPr>
        <w:spacing w:line="312" w:lineRule="auto"/>
        <w:jc w:val="center"/>
        <w:rPr>
          <w:rFonts w:ascii="黑体" w:hAnsi="黑体"/>
          <w:sz w:val="44"/>
          <w:szCs w:val="44"/>
        </w:rPr>
      </w:pPr>
      <w:r>
        <w:rPr>
          <w:rFonts w:hint="eastAsia" w:ascii="黑体" w:hAnsi="黑体"/>
          <w:sz w:val="24"/>
        </w:rPr>
        <w:t>（202402版/适用于封闭式净值型理财产品）</w:t>
      </w:r>
    </w:p>
    <w:p w14:paraId="4E1C023E">
      <w:pPr>
        <w:spacing w:line="312" w:lineRule="auto"/>
        <w:jc w:val="center"/>
        <w:rPr>
          <w:rFonts w:ascii="黑体" w:hAnsi="黑体" w:cs="宋体"/>
          <w:kern w:val="0"/>
          <w:sz w:val="44"/>
          <w:szCs w:val="44"/>
        </w:rPr>
      </w:pPr>
    </w:p>
    <w:p w14:paraId="05BA5B92">
      <w:pPr>
        <w:autoSpaceDE w:val="0"/>
        <w:autoSpaceDN w:val="0"/>
        <w:adjustRightInd w:val="0"/>
        <w:jc w:val="left"/>
        <w:rPr>
          <w:rFonts w:ascii="黑体" w:cs="黑体"/>
          <w:b/>
          <w:kern w:val="0"/>
          <w:szCs w:val="20"/>
        </w:rPr>
      </w:pPr>
      <w:r>
        <w:rPr>
          <w:rFonts w:hint="eastAsia" w:ascii="黑体" w:cs="黑体"/>
          <w:b/>
          <w:kern w:val="0"/>
          <w:szCs w:val="20"/>
        </w:rPr>
        <w:t>一、重要说明</w:t>
      </w:r>
    </w:p>
    <w:p w14:paraId="424B02FD">
      <w:pPr>
        <w:pStyle w:val="22"/>
      </w:pPr>
      <w:r>
        <w:t>1、《</w:t>
      </w:r>
      <w:r>
        <w:rPr>
          <w:rFonts w:hint="eastAsia"/>
        </w:rPr>
        <w:t>宁银理财宁欣固定收益类封闭式理财1</w:t>
      </w:r>
      <w:r>
        <w:rPr>
          <w:rFonts w:hint="eastAsia"/>
          <w:lang w:val="en-US" w:eastAsia="zh-CN"/>
        </w:rPr>
        <w:t>899</w:t>
      </w:r>
      <w:r>
        <w:rPr>
          <w:rFonts w:hint="eastAsia"/>
        </w:rPr>
        <w:t>号</w:t>
      </w:r>
      <w:r>
        <w:t>产品说明书》（下称“本说明书”或《理财产品说明书》）与本理财产品的《风险揭示书》、《销售（代理销售）协议书》</w:t>
      </w:r>
      <w:r>
        <w:rPr>
          <w:rFonts w:hint="eastAsia"/>
        </w:rPr>
        <w:t>（通过代理销售机构销售的，文件具体名称以代理销售机构为准，下同）</w:t>
      </w:r>
      <w:r>
        <w:t>、《投资协议书》、《投资者权益须知》等理财产品销售文件共同构成一份完整且不可分割的、关于甲方所投资乙方理财产品的全部协议。若本说明书与上述其他文本有不一致之处，以本说明书为准。</w:t>
      </w:r>
    </w:p>
    <w:p w14:paraId="787B4657">
      <w:pPr>
        <w:pStyle w:val="15"/>
        <w:ind w:firstLine="420" w:firstLineChars="200"/>
      </w:pPr>
      <w:r>
        <w:rPr>
          <w:rFonts w:hint="eastAsia"/>
        </w:rPr>
        <w:t>2、宁银理财</w:t>
      </w:r>
      <w:r>
        <w:t>有限责任</w:t>
      </w:r>
      <w:r>
        <w:rPr>
          <w:rFonts w:hint="eastAsia"/>
        </w:rPr>
        <w:t>公司（下称“产品管理人</w:t>
      </w:r>
      <w:r>
        <w:t>”</w:t>
      </w:r>
      <w:r>
        <w:rPr>
          <w:rFonts w:hint="eastAsia"/>
        </w:rPr>
        <w:t>）代理投资者进行理财资金的投资和管理，并严格遵照本说明书所载的内容进行操作。</w:t>
      </w:r>
    </w:p>
    <w:p w14:paraId="6DCDEA81">
      <w:pPr>
        <w:pStyle w:val="15"/>
        <w:ind w:firstLine="420" w:firstLineChars="200"/>
      </w:pPr>
      <w:r>
        <w:rPr>
          <w:rFonts w:hint="eastAsia"/>
        </w:rPr>
        <w:t>3、产品管理人对本说明书具有解释权。</w:t>
      </w:r>
    </w:p>
    <w:p w14:paraId="3D0F590F">
      <w:pPr>
        <w:autoSpaceDE w:val="0"/>
        <w:autoSpaceDN w:val="0"/>
        <w:adjustRightInd w:val="0"/>
        <w:ind w:firstLine="422" w:firstLineChars="200"/>
        <w:jc w:val="left"/>
        <w:rPr>
          <w:rFonts w:ascii="黑体" w:hAnsi="黑体" w:cs="黑体"/>
          <w:b/>
          <w:kern w:val="0"/>
          <w:szCs w:val="21"/>
        </w:rPr>
      </w:pPr>
      <w:r>
        <w:rPr>
          <w:rFonts w:ascii="黑体" w:hAnsi="黑体" w:cs="黑体"/>
          <w:b/>
          <w:kern w:val="0"/>
          <w:szCs w:val="21"/>
        </w:rPr>
        <w:t>4、理财产品过往业绩不代表其未来表现，不等于理财产品实际收益，投资须谨慎。</w:t>
      </w:r>
    </w:p>
    <w:p w14:paraId="2E4470A7">
      <w:pPr>
        <w:autoSpaceDE w:val="0"/>
        <w:autoSpaceDN w:val="0"/>
        <w:adjustRightInd w:val="0"/>
        <w:ind w:firstLine="420" w:firstLineChars="200"/>
        <w:jc w:val="left"/>
        <w:rPr>
          <w:rFonts w:ascii="黑体" w:hAnsi="黑体" w:cs="黑体"/>
          <w:kern w:val="0"/>
          <w:szCs w:val="21"/>
        </w:rPr>
      </w:pPr>
    </w:p>
    <w:p w14:paraId="130FDA32">
      <w:pPr>
        <w:autoSpaceDE w:val="0"/>
        <w:autoSpaceDN w:val="0"/>
        <w:adjustRightInd w:val="0"/>
        <w:jc w:val="left"/>
        <w:rPr>
          <w:rFonts w:ascii="黑体" w:hAnsi="黑体" w:cs="黑体"/>
          <w:b/>
          <w:kern w:val="0"/>
          <w:szCs w:val="21"/>
        </w:rPr>
      </w:pPr>
      <w:r>
        <w:rPr>
          <w:rFonts w:hint="eastAsia" w:ascii="黑体" w:hAnsi="黑体" w:cs="黑体"/>
          <w:b/>
          <w:kern w:val="0"/>
          <w:szCs w:val="21"/>
        </w:rPr>
        <w:t>二</w:t>
      </w:r>
      <w:r>
        <w:rPr>
          <w:rFonts w:ascii="黑体" w:hAnsi="黑体" w:cs="黑体"/>
          <w:b/>
          <w:kern w:val="0"/>
          <w:szCs w:val="21"/>
        </w:rPr>
        <w:t>、</w:t>
      </w:r>
      <w:r>
        <w:rPr>
          <w:rFonts w:hint="eastAsia" w:ascii="黑体" w:hAnsi="黑体" w:cs="黑体"/>
          <w:b/>
          <w:kern w:val="0"/>
          <w:szCs w:val="21"/>
        </w:rPr>
        <w:t>产品要素</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458"/>
      </w:tblGrid>
      <w:tr w14:paraId="46DC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14:paraId="4F168C8E">
            <w:pPr>
              <w:autoSpaceDE w:val="0"/>
              <w:autoSpaceDN w:val="0"/>
              <w:adjustRightInd w:val="0"/>
              <w:jc w:val="left"/>
              <w:rPr>
                <w:kern w:val="0"/>
                <w:sz w:val="20"/>
                <w:szCs w:val="20"/>
              </w:rPr>
            </w:pPr>
            <w:r>
              <w:rPr>
                <w:rFonts w:hint="eastAsia"/>
                <w:kern w:val="0"/>
                <w:sz w:val="20"/>
                <w:szCs w:val="20"/>
              </w:rPr>
              <w:t>产品代码</w:t>
            </w:r>
          </w:p>
        </w:tc>
        <w:tc>
          <w:tcPr>
            <w:tcW w:w="6458" w:type="dxa"/>
          </w:tcPr>
          <w:p w14:paraId="56EA18BC">
            <w:pPr>
              <w:pStyle w:val="21"/>
              <w:rPr>
                <w:rFonts w:hint="default" w:eastAsia="黑体"/>
                <w:sz w:val="20"/>
                <w:lang w:val="en-US" w:eastAsia="zh-CN"/>
              </w:rPr>
            </w:pPr>
            <w:r>
              <w:rPr>
                <w:sz w:val="20"/>
              </w:rPr>
              <w:t>ZGN2</w:t>
            </w:r>
            <w:r>
              <w:rPr>
                <w:rFonts w:hint="eastAsia"/>
                <w:sz w:val="20"/>
              </w:rPr>
              <w:t>4</w:t>
            </w:r>
            <w:r>
              <w:rPr>
                <w:sz w:val="20"/>
              </w:rPr>
              <w:t>11</w:t>
            </w:r>
            <w:r>
              <w:rPr>
                <w:rFonts w:hint="eastAsia"/>
                <w:sz w:val="20"/>
                <w:lang w:val="en-US" w:eastAsia="zh-CN"/>
              </w:rPr>
              <w:t>899</w:t>
            </w:r>
          </w:p>
        </w:tc>
      </w:tr>
      <w:tr w14:paraId="0B8D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4D2DF19E">
            <w:pPr>
              <w:pStyle w:val="15"/>
              <w:rPr>
                <w:sz w:val="20"/>
              </w:rPr>
            </w:pPr>
            <w:r>
              <w:rPr>
                <w:rFonts w:hint="eastAsia"/>
                <w:sz w:val="20"/>
              </w:rPr>
              <w:t>全国</w:t>
            </w:r>
            <w:r>
              <w:rPr>
                <w:sz w:val="20"/>
              </w:rPr>
              <w:t>银行业</w:t>
            </w:r>
            <w:r>
              <w:rPr>
                <w:rFonts w:hint="eastAsia"/>
                <w:sz w:val="20"/>
              </w:rPr>
              <w:t>信息</w:t>
            </w:r>
            <w:r>
              <w:rPr>
                <w:sz w:val="20"/>
              </w:rPr>
              <w:t>登记系统编码</w:t>
            </w:r>
          </w:p>
        </w:tc>
        <w:tc>
          <w:tcPr>
            <w:tcW w:w="6458" w:type="dxa"/>
          </w:tcPr>
          <w:p w14:paraId="54623737">
            <w:pPr>
              <w:pStyle w:val="15"/>
              <w:rPr>
                <w:rFonts w:hint="default" w:eastAsia="黑体" w:cs="黑体"/>
                <w:sz w:val="20"/>
                <w:lang w:val="en-US" w:eastAsia="zh-CN"/>
              </w:rPr>
            </w:pPr>
            <w:r>
              <w:rPr>
                <w:rFonts w:hint="eastAsia" w:cs="黑体"/>
                <w:sz w:val="20"/>
              </w:rPr>
              <w:t>Z7002124000</w:t>
            </w:r>
            <w:r>
              <w:rPr>
                <w:rFonts w:hint="eastAsia" w:cs="黑体"/>
                <w:sz w:val="20"/>
                <w:lang w:val="en-US" w:eastAsia="zh-CN"/>
              </w:rPr>
              <w:t>312</w:t>
            </w:r>
          </w:p>
          <w:p w14:paraId="05FAF938">
            <w:pPr>
              <w:pStyle w:val="15"/>
              <w:rPr>
                <w:sz w:val="20"/>
              </w:rPr>
            </w:pPr>
            <w:r>
              <w:rPr>
                <w:rFonts w:hint="eastAsia"/>
                <w:sz w:val="20"/>
              </w:rPr>
              <w:t>凭此编码可在“中国理财网（www.chinawealth.com.cn）”上查询本产品信息</w:t>
            </w:r>
          </w:p>
        </w:tc>
      </w:tr>
      <w:tr w14:paraId="6E19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37264C3D">
            <w:pPr>
              <w:pStyle w:val="15"/>
              <w:rPr>
                <w:sz w:val="20"/>
              </w:rPr>
            </w:pPr>
            <w:r>
              <w:rPr>
                <w:rFonts w:hint="eastAsia"/>
                <w:sz w:val="20"/>
              </w:rPr>
              <w:t>产品</w:t>
            </w:r>
            <w:r>
              <w:rPr>
                <w:sz w:val="20"/>
              </w:rPr>
              <w:t>名称</w:t>
            </w:r>
          </w:p>
        </w:tc>
        <w:tc>
          <w:tcPr>
            <w:tcW w:w="6458" w:type="dxa"/>
          </w:tcPr>
          <w:p w14:paraId="2E44BE58">
            <w:pPr>
              <w:pStyle w:val="21"/>
              <w:rPr>
                <w:sz w:val="20"/>
              </w:rPr>
            </w:pPr>
            <w:r>
              <w:rPr>
                <w:rFonts w:hint="eastAsia"/>
                <w:sz w:val="20"/>
              </w:rPr>
              <w:t>宁银理财宁欣固定收益类封闭式理财1</w:t>
            </w:r>
            <w:r>
              <w:rPr>
                <w:rFonts w:hint="eastAsia"/>
                <w:sz w:val="20"/>
                <w:lang w:val="en-US" w:eastAsia="zh-CN"/>
              </w:rPr>
              <w:t>899</w:t>
            </w:r>
            <w:r>
              <w:rPr>
                <w:rFonts w:hint="eastAsia"/>
                <w:sz w:val="20"/>
              </w:rPr>
              <w:t>号</w:t>
            </w:r>
          </w:p>
        </w:tc>
      </w:tr>
    </w:tbl>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458"/>
      </w:tblGrid>
      <w:tr w14:paraId="3813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tcBorders>
          </w:tcPr>
          <w:p w14:paraId="60A81868">
            <w:pPr>
              <w:pStyle w:val="15"/>
              <w:rPr>
                <w:sz w:val="20"/>
              </w:rPr>
            </w:pPr>
            <w:r>
              <w:rPr>
                <w:rFonts w:hint="eastAsia"/>
                <w:sz w:val="20"/>
              </w:rPr>
              <w:t>产品</w:t>
            </w:r>
            <w:r>
              <w:rPr>
                <w:sz w:val="20"/>
              </w:rPr>
              <w:t>类型</w:t>
            </w:r>
          </w:p>
        </w:tc>
        <w:tc>
          <w:tcPr>
            <w:tcW w:w="6458" w:type="dxa"/>
            <w:tcBorders>
              <w:top w:val="single" w:color="auto" w:sz="4" w:space="0"/>
            </w:tcBorders>
          </w:tcPr>
          <w:p w14:paraId="29CA75D7">
            <w:pPr>
              <w:pStyle w:val="15"/>
              <w:rPr>
                <w:b/>
                <w:bCs/>
                <w:sz w:val="20"/>
              </w:rPr>
            </w:pPr>
            <w:r>
              <w:rPr>
                <w:b/>
                <w:bCs/>
                <w:sz w:val="20"/>
              </w:rPr>
              <w:t>固定收益类</w:t>
            </w:r>
            <w:r>
              <w:rPr>
                <w:rFonts w:hint="eastAsia"/>
                <w:b/>
                <w:bCs/>
                <w:sz w:val="20"/>
              </w:rPr>
              <w:t>、非保本浮动收益型</w:t>
            </w:r>
          </w:p>
        </w:tc>
      </w:tr>
      <w:tr w14:paraId="499D8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52072CB3">
            <w:pPr>
              <w:pStyle w:val="15"/>
              <w:rPr>
                <w:sz w:val="20"/>
              </w:rPr>
            </w:pPr>
            <w:r>
              <w:rPr>
                <w:rFonts w:hint="eastAsia"/>
                <w:sz w:val="20"/>
              </w:rPr>
              <w:t>募集</w:t>
            </w:r>
            <w:r>
              <w:rPr>
                <w:sz w:val="20"/>
              </w:rPr>
              <w:t>方式</w:t>
            </w:r>
          </w:p>
        </w:tc>
        <w:tc>
          <w:tcPr>
            <w:tcW w:w="6458" w:type="dxa"/>
          </w:tcPr>
          <w:p w14:paraId="11370F74">
            <w:pPr>
              <w:pStyle w:val="15"/>
              <w:rPr>
                <w:b/>
                <w:bCs/>
                <w:sz w:val="20"/>
              </w:rPr>
            </w:pPr>
            <w:r>
              <w:rPr>
                <w:rFonts w:hint="eastAsia"/>
                <w:b/>
                <w:bCs/>
                <w:sz w:val="20"/>
              </w:rPr>
              <w:t>公</w:t>
            </w:r>
            <w:r>
              <w:rPr>
                <w:b/>
                <w:bCs/>
                <w:sz w:val="20"/>
              </w:rPr>
              <w:t>募</w:t>
            </w:r>
          </w:p>
        </w:tc>
      </w:tr>
      <w:tr w14:paraId="3AD0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472FA552">
            <w:pPr>
              <w:pStyle w:val="15"/>
              <w:rPr>
                <w:sz w:val="20"/>
              </w:rPr>
            </w:pPr>
            <w:r>
              <w:rPr>
                <w:rFonts w:hint="eastAsia"/>
                <w:sz w:val="20"/>
              </w:rPr>
              <w:t>产品</w:t>
            </w:r>
            <w:r>
              <w:rPr>
                <w:sz w:val="20"/>
              </w:rPr>
              <w:t>评级</w:t>
            </w:r>
          </w:p>
        </w:tc>
        <w:tc>
          <w:tcPr>
            <w:tcW w:w="6458" w:type="dxa"/>
          </w:tcPr>
          <w:p w14:paraId="4334C45D">
            <w:pPr>
              <w:pStyle w:val="15"/>
              <w:rPr>
                <w:b/>
                <w:bCs/>
                <w:sz w:val="20"/>
              </w:rPr>
            </w:pPr>
            <w:r>
              <w:rPr>
                <w:b/>
                <w:bCs/>
                <w:sz w:val="20"/>
              </w:rPr>
              <w:t>PR2</w:t>
            </w:r>
          </w:p>
          <w:p w14:paraId="1C432069">
            <w:pPr>
              <w:pStyle w:val="15"/>
              <w:rPr>
                <w:sz w:val="20"/>
              </w:rPr>
            </w:pPr>
            <w:r>
              <w:rPr>
                <w:rFonts w:hint="eastAsia"/>
                <w:sz w:val="20"/>
              </w:rPr>
              <w:t>本评级为产品管理人内部评级，仅供参考。该产品通过代理销售机构渠道销售的，理财产品评级应当以代理销售机构最终披露的评级结果为准。</w:t>
            </w:r>
          </w:p>
        </w:tc>
      </w:tr>
      <w:tr w14:paraId="669A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0F25787E">
            <w:pPr>
              <w:pStyle w:val="15"/>
              <w:rPr>
                <w:sz w:val="20"/>
              </w:rPr>
            </w:pPr>
            <w:r>
              <w:rPr>
                <w:rFonts w:hint="eastAsia"/>
                <w:sz w:val="20"/>
              </w:rPr>
              <w:t>目标投资者</w:t>
            </w:r>
          </w:p>
        </w:tc>
        <w:tc>
          <w:tcPr>
            <w:tcW w:w="6458" w:type="dxa"/>
          </w:tcPr>
          <w:p w14:paraId="56858F9C">
            <w:pPr>
              <w:pStyle w:val="15"/>
              <w:rPr>
                <w:b/>
                <w:bCs/>
                <w:sz w:val="20"/>
              </w:rPr>
            </w:pPr>
            <w:r>
              <w:rPr>
                <w:b/>
                <w:bCs/>
                <w:sz w:val="20"/>
              </w:rPr>
              <w:t>风险评级为稳健型，平衡型，成长型，进取型的</w:t>
            </w:r>
            <w:r>
              <w:rPr>
                <w:rFonts w:hint="eastAsia"/>
                <w:b/>
                <w:bCs/>
                <w:sz w:val="20"/>
              </w:rPr>
              <w:t>投资者</w:t>
            </w:r>
          </w:p>
          <w:p w14:paraId="368102ED">
            <w:pPr>
              <w:pStyle w:val="15"/>
              <w:rPr>
                <w:rFonts w:hint="eastAsia"/>
                <w:b/>
                <w:sz w:val="20"/>
              </w:rPr>
            </w:pPr>
            <w:r>
              <w:rPr>
                <w:rFonts w:hint="eastAsia"/>
                <w:b/>
                <w:sz w:val="20"/>
              </w:rPr>
              <w:t>其中A份额(销售代码:ZGN2411899A)面向全体客户，B份额(销售代码:ZGN2411899B)面向宁波银行财富核心渠道客户、白金及以上客户、白领通客户、企业核心客户、代发工资客户，C份额（周年庆专属）（销售代码:ZGN2411899C）面向宁波银行新客户、新资金客户和其他非宁波银行渠道客户，D份额（销售代码:ZGN2411899D）面向宁波银行定向预约客户和其他非宁波银行渠道客户，E份额（销售代码:ZGN2</w:t>
            </w:r>
            <w:bookmarkStart w:id="7" w:name="_GoBack"/>
            <w:bookmarkEnd w:id="7"/>
            <w:r>
              <w:rPr>
                <w:rFonts w:hint="eastAsia"/>
                <w:b/>
                <w:sz w:val="20"/>
              </w:rPr>
              <w:t>411899E）面向其他非宁波银行渠道客户</w:t>
            </w:r>
          </w:p>
          <w:p w14:paraId="4E91A6CF">
            <w:pPr>
              <w:pStyle w:val="15"/>
              <w:rPr>
                <w:rFonts w:hint="default"/>
                <w:b/>
                <w:sz w:val="20"/>
                <w:lang w:val="en-US" w:eastAsia="zh-CN"/>
              </w:rPr>
            </w:pPr>
            <w:r>
              <w:rPr>
                <w:rFonts w:hint="default"/>
                <w:b/>
                <w:sz w:val="20"/>
                <w:lang w:val="en-US" w:eastAsia="zh-CN"/>
              </w:rPr>
              <w:t>(上述规则具体以销售机构定义的规则为准)</w:t>
            </w:r>
          </w:p>
        </w:tc>
      </w:tr>
      <w:tr w14:paraId="437D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139E66B8">
            <w:pPr>
              <w:pStyle w:val="15"/>
              <w:rPr>
                <w:sz w:val="20"/>
              </w:rPr>
            </w:pPr>
            <w:r>
              <w:rPr>
                <w:rFonts w:hint="eastAsia"/>
                <w:sz w:val="20"/>
              </w:rPr>
              <w:t>本金</w:t>
            </w:r>
            <w:r>
              <w:rPr>
                <w:sz w:val="20"/>
              </w:rPr>
              <w:t>及收益币种</w:t>
            </w:r>
          </w:p>
        </w:tc>
        <w:tc>
          <w:tcPr>
            <w:tcW w:w="6458" w:type="dxa"/>
          </w:tcPr>
          <w:p w14:paraId="4A6FF28E">
            <w:pPr>
              <w:pStyle w:val="15"/>
              <w:rPr>
                <w:sz w:val="20"/>
              </w:rPr>
            </w:pPr>
            <w:r>
              <w:rPr>
                <w:sz w:val="20"/>
              </w:rPr>
              <w:t>人民币</w:t>
            </w:r>
          </w:p>
        </w:tc>
      </w:tr>
      <w:tr w14:paraId="6910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29E43408">
            <w:pPr>
              <w:pStyle w:val="15"/>
              <w:rPr>
                <w:sz w:val="20"/>
              </w:rPr>
            </w:pPr>
            <w:r>
              <w:rPr>
                <w:rFonts w:hint="eastAsia"/>
                <w:sz w:val="20"/>
              </w:rPr>
              <w:t>业绩</w:t>
            </w:r>
            <w:r>
              <w:rPr>
                <w:sz w:val="20"/>
              </w:rPr>
              <w:t>比较基准</w:t>
            </w:r>
          </w:p>
        </w:tc>
        <w:tc>
          <w:tcPr>
            <w:tcW w:w="6458" w:type="dxa"/>
          </w:tcPr>
          <w:p w14:paraId="78044852">
            <w:pPr>
              <w:pStyle w:val="14"/>
              <w:rPr>
                <w:sz w:val="20"/>
              </w:rPr>
            </w:pPr>
            <w:r>
              <w:rPr>
                <w:sz w:val="20"/>
              </w:rPr>
              <w:t>A份额：</w:t>
            </w:r>
            <w:r>
              <w:rPr>
                <w:rFonts w:hint="eastAsia"/>
                <w:sz w:val="20"/>
                <w:lang w:val="en-US" w:eastAsia="zh-CN"/>
              </w:rPr>
              <w:t>2</w:t>
            </w:r>
            <w:r>
              <w:rPr>
                <w:rFonts w:hint="eastAsia"/>
                <w:sz w:val="20"/>
              </w:rPr>
              <w:t>.</w:t>
            </w:r>
            <w:r>
              <w:rPr>
                <w:rFonts w:hint="eastAsia"/>
                <w:sz w:val="20"/>
                <w:lang w:val="en-US" w:eastAsia="zh-CN"/>
              </w:rPr>
              <w:t>90</w:t>
            </w:r>
            <w:r>
              <w:rPr>
                <w:rFonts w:hint="eastAsia"/>
                <w:sz w:val="20"/>
              </w:rPr>
              <w:t>%</w:t>
            </w:r>
          </w:p>
          <w:p w14:paraId="5DC8A1B9">
            <w:pPr>
              <w:pStyle w:val="15"/>
              <w:rPr>
                <w:rFonts w:hint="eastAsia"/>
                <w:b/>
                <w:sz w:val="20"/>
              </w:rPr>
            </w:pPr>
            <w:r>
              <w:rPr>
                <w:b/>
                <w:sz w:val="20"/>
              </w:rPr>
              <w:t>B份额：</w:t>
            </w:r>
            <w:r>
              <w:rPr>
                <w:rFonts w:hint="eastAsia"/>
                <w:b/>
                <w:sz w:val="20"/>
                <w:lang w:val="en-US" w:eastAsia="zh-CN"/>
              </w:rPr>
              <w:t>2</w:t>
            </w:r>
            <w:r>
              <w:rPr>
                <w:rFonts w:hint="eastAsia"/>
                <w:b/>
                <w:sz w:val="20"/>
              </w:rPr>
              <w:t>.</w:t>
            </w:r>
            <w:r>
              <w:rPr>
                <w:rFonts w:hint="eastAsia"/>
                <w:b/>
                <w:sz w:val="20"/>
                <w:lang w:val="en-US" w:eastAsia="zh-CN"/>
              </w:rPr>
              <w:t>95</w:t>
            </w:r>
            <w:r>
              <w:rPr>
                <w:rFonts w:hint="eastAsia"/>
                <w:b/>
                <w:sz w:val="20"/>
              </w:rPr>
              <w:t>%</w:t>
            </w:r>
          </w:p>
          <w:p w14:paraId="1780BA49">
            <w:pPr>
              <w:pStyle w:val="15"/>
              <w:rPr>
                <w:rFonts w:hint="eastAsia"/>
                <w:b/>
                <w:sz w:val="20"/>
                <w:lang w:val="en-US" w:eastAsia="zh-CN"/>
              </w:rPr>
            </w:pPr>
            <w:r>
              <w:rPr>
                <w:rFonts w:hint="eastAsia"/>
                <w:b/>
                <w:sz w:val="20"/>
                <w:lang w:val="en-US" w:eastAsia="zh-CN"/>
              </w:rPr>
              <w:t>C份额: 3.17%</w:t>
            </w:r>
          </w:p>
          <w:p w14:paraId="57210C95">
            <w:pPr>
              <w:pStyle w:val="15"/>
              <w:rPr>
                <w:rFonts w:hint="eastAsia"/>
                <w:b/>
                <w:sz w:val="20"/>
                <w:lang w:val="en-US" w:eastAsia="zh-CN"/>
              </w:rPr>
            </w:pPr>
            <w:r>
              <w:rPr>
                <w:rFonts w:hint="eastAsia"/>
                <w:b/>
                <w:sz w:val="20"/>
                <w:lang w:val="en-US" w:eastAsia="zh-CN"/>
              </w:rPr>
              <w:t>D份额: 3.00%</w:t>
            </w:r>
          </w:p>
          <w:p w14:paraId="7EC1B7C7">
            <w:pPr>
              <w:pStyle w:val="15"/>
              <w:rPr>
                <w:rFonts w:hint="default"/>
                <w:b/>
                <w:sz w:val="20"/>
                <w:lang w:val="en-US" w:eastAsia="zh-CN"/>
              </w:rPr>
            </w:pPr>
            <w:r>
              <w:rPr>
                <w:rFonts w:hint="eastAsia"/>
                <w:b/>
                <w:sz w:val="20"/>
                <w:lang w:val="en-US" w:eastAsia="zh-CN"/>
              </w:rPr>
              <w:t>E份额: 3.10%</w:t>
            </w:r>
          </w:p>
          <w:p w14:paraId="64B74B17">
            <w:pPr>
              <w:pStyle w:val="15"/>
              <w:rPr>
                <w:b/>
                <w:bCs/>
                <w:sz w:val="20"/>
              </w:rPr>
            </w:pPr>
            <w:r>
              <w:rPr>
                <w:rFonts w:hint="eastAsia"/>
                <w:b/>
                <w:bCs/>
                <w:sz w:val="20"/>
              </w:rPr>
              <w:t>业绩比较基准不是预期收益率，不代表产品的未来表现和实际收益，不构成对产品本金的保证和收益的承诺，仅供投资者参考。</w:t>
            </w:r>
          </w:p>
          <w:p w14:paraId="5EBBCD28">
            <w:pPr>
              <w:pStyle w:val="15"/>
              <w:rPr>
                <w:sz w:val="20"/>
              </w:rPr>
            </w:pPr>
          </w:p>
          <w:p w14:paraId="38129190">
            <w:pPr>
              <w:pStyle w:val="14"/>
              <w:rPr>
                <w:sz w:val="20"/>
              </w:rPr>
            </w:pPr>
            <w:r>
              <w:rPr>
                <w:rFonts w:hint="eastAsia"/>
                <w:sz w:val="20"/>
              </w:rPr>
              <w:t>业绩比较基准测算依据：本理财产品业绩比较基准由产品管理人依据理财产品的投资范围和投资策略，基于产品性质和过往经验，并综合考虑市场环境等因素测算得到的年化收益。本产品杠杆率不超过【20</w:t>
            </w:r>
            <w:r>
              <w:rPr>
                <w:sz w:val="20"/>
              </w:rPr>
              <w:t>0%】，计划将</w:t>
            </w:r>
            <w:r>
              <w:rPr>
                <w:rFonts w:hint="eastAsia"/>
                <w:sz w:val="20"/>
              </w:rPr>
              <w:t>8</w:t>
            </w:r>
            <w:r>
              <w:rPr>
                <w:sz w:val="20"/>
              </w:rPr>
              <w:t>0%-</w:t>
            </w:r>
            <w:r>
              <w:rPr>
                <w:rFonts w:hint="eastAsia"/>
                <w:sz w:val="20"/>
              </w:rPr>
              <w:t>10</w:t>
            </w:r>
            <w:r>
              <w:rPr>
                <w:sz w:val="20"/>
              </w:rPr>
              <w:t>0%的资金投资于固定收益类资产，0%-</w:t>
            </w:r>
            <w:r>
              <w:rPr>
                <w:rFonts w:hint="eastAsia"/>
                <w:sz w:val="20"/>
              </w:rPr>
              <w:t>2</w:t>
            </w:r>
            <w:r>
              <w:rPr>
                <w:sz w:val="20"/>
              </w:rPr>
              <w:t>0%的资金投资于权益类资产，0%-</w:t>
            </w:r>
            <w:r>
              <w:rPr>
                <w:rFonts w:hint="eastAsia"/>
                <w:sz w:val="20"/>
              </w:rPr>
              <w:t>2</w:t>
            </w:r>
            <w:r>
              <w:rPr>
                <w:sz w:val="20"/>
              </w:rPr>
              <w:t>0%的资金投资于商品及金融衍生品类资产，（投资范围详见“三、产品投资管理”部分），参照市场利率水平和投资资产的市场表现，扣除各项费用，经综合测算后设定本产品的业绩比较基准。</w:t>
            </w:r>
          </w:p>
          <w:p w14:paraId="024154F8">
            <w:pPr>
              <w:pStyle w:val="15"/>
              <w:rPr>
                <w:sz w:val="20"/>
              </w:rPr>
            </w:pPr>
          </w:p>
          <w:p w14:paraId="31ACE386">
            <w:pPr>
              <w:autoSpaceDE w:val="0"/>
              <w:autoSpaceDN w:val="0"/>
              <w:adjustRightInd w:val="0"/>
              <w:jc w:val="left"/>
              <w:rPr>
                <w:rFonts w:cs="黑体"/>
                <w:kern w:val="0"/>
                <w:sz w:val="20"/>
                <w:szCs w:val="20"/>
              </w:rPr>
            </w:pPr>
            <w:r>
              <w:rPr>
                <w:rFonts w:hint="eastAsia" w:ascii="黑体" w:hAnsi="黑体" w:cs="黑体"/>
                <w:b/>
                <w:kern w:val="0"/>
                <w:sz w:val="20"/>
                <w:szCs w:val="21"/>
              </w:rPr>
              <w:t>本产品将采取灵活的资产配置策略和积极主动的投资管理措施，并适时运用骑乘策略、杠杆策略和票息策略等投资策略，对投资组合进行收益增厚，在严格控制风险的基础上，力争为投资者提供持续稳健的投资回报。</w:t>
            </w:r>
          </w:p>
          <w:p w14:paraId="6B2982FD">
            <w:pPr>
              <w:pStyle w:val="14"/>
              <w:rPr>
                <w:sz w:val="20"/>
              </w:rPr>
            </w:pPr>
            <w:r>
              <w:rPr>
                <w:rFonts w:hint="eastAsia"/>
                <w:sz w:val="20"/>
              </w:rPr>
              <w:t>业绩比较基准可用于确定产品管理人是否收取超额业绩报酬，投资者所能获得的最终收益以管理人实际支付为准，业绩比较基准并不作为产品管理人向投资者支付本产品本金或收益的承诺。</w:t>
            </w:r>
          </w:p>
          <w:p w14:paraId="77968654">
            <w:pPr>
              <w:pStyle w:val="15"/>
              <w:rPr>
                <w:sz w:val="20"/>
              </w:rPr>
            </w:pPr>
            <w:r>
              <w:rPr>
                <w:rFonts w:hint="eastAsia"/>
                <w:sz w:val="20"/>
              </w:rPr>
              <w:t>本产品为净值型产品，业绩表现将随市场情况波动，具有不确定性。</w:t>
            </w:r>
            <w:r>
              <w:rPr>
                <w:rFonts w:hint="eastAsia" w:cs="黑体"/>
                <w:sz w:val="20"/>
              </w:rPr>
              <w:t>当监管政策、</w:t>
            </w:r>
            <w:r>
              <w:rPr>
                <w:rFonts w:hint="eastAsia"/>
                <w:sz w:val="20"/>
              </w:rPr>
              <w:t>市场情况</w:t>
            </w:r>
            <w:r>
              <w:rPr>
                <w:rFonts w:hint="eastAsia" w:cs="黑体"/>
                <w:sz w:val="20"/>
              </w:rPr>
              <w:t>环境、产品性质等因素发生变化，导致理财产品的</w:t>
            </w:r>
            <w:r>
              <w:rPr>
                <w:rFonts w:hint="eastAsia"/>
                <w:sz w:val="20"/>
              </w:rPr>
              <w:t>业绩比较基准</w:t>
            </w:r>
            <w:r>
              <w:rPr>
                <w:rFonts w:hint="eastAsia" w:cs="黑体"/>
                <w:sz w:val="20"/>
              </w:rPr>
              <w:t>需要调整时，产品管理人将</w:t>
            </w:r>
            <w:r>
              <w:rPr>
                <w:rFonts w:hint="eastAsia"/>
                <w:sz w:val="20"/>
              </w:rPr>
              <w:t>至少于调整日之前</w:t>
            </w:r>
            <w:r>
              <w:rPr>
                <w:sz w:val="20"/>
              </w:rPr>
              <w:t>3</w:t>
            </w:r>
            <w:r>
              <w:rPr>
                <w:rFonts w:hint="eastAsia"/>
                <w:sz w:val="20"/>
              </w:rPr>
              <w:t>个工作日</w:t>
            </w:r>
            <w:r>
              <w:rPr>
                <w:rFonts w:hint="eastAsia" w:cs="黑体"/>
                <w:sz w:val="20"/>
              </w:rPr>
              <w:t>通过机构官方渠道、行业统一信息披露渠道或与投资者约定的其他渠道公布调整情况和调整原因</w:t>
            </w:r>
            <w:r>
              <w:rPr>
                <w:rFonts w:hint="eastAsia"/>
                <w:sz w:val="20"/>
              </w:rPr>
              <w:t>。</w:t>
            </w:r>
          </w:p>
        </w:tc>
      </w:tr>
      <w:tr w14:paraId="2F9E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5A895612">
            <w:pPr>
              <w:pStyle w:val="15"/>
              <w:rPr>
                <w:sz w:val="20"/>
              </w:rPr>
            </w:pPr>
            <w:r>
              <w:rPr>
                <w:rFonts w:hint="eastAsia"/>
                <w:sz w:val="20"/>
              </w:rPr>
              <w:t>产品</w:t>
            </w:r>
            <w:r>
              <w:rPr>
                <w:sz w:val="20"/>
              </w:rPr>
              <w:t>募集期</w:t>
            </w:r>
          </w:p>
        </w:tc>
        <w:tc>
          <w:tcPr>
            <w:tcW w:w="6458" w:type="dxa"/>
          </w:tcPr>
          <w:p w14:paraId="0FF19A49">
            <w:pPr>
              <w:pStyle w:val="15"/>
              <w:rPr>
                <w:rFonts w:hint="eastAsia" w:eastAsia="黑体"/>
                <w:b/>
                <w:bCs/>
                <w:sz w:val="20"/>
                <w:lang w:eastAsia="zh-CN"/>
              </w:rPr>
            </w:pPr>
            <w:r>
              <w:rPr>
                <w:rFonts w:hint="eastAsia"/>
                <w:b/>
                <w:bCs/>
                <w:sz w:val="20"/>
              </w:rPr>
              <w:t>2024年</w:t>
            </w:r>
            <w:r>
              <w:rPr>
                <w:rFonts w:hint="eastAsia"/>
                <w:b/>
                <w:bCs/>
                <w:sz w:val="20"/>
                <w:lang w:val="en-US" w:eastAsia="zh-CN"/>
              </w:rPr>
              <w:t>12</w:t>
            </w:r>
            <w:r>
              <w:rPr>
                <w:rFonts w:hint="eastAsia"/>
                <w:b/>
                <w:bCs/>
                <w:sz w:val="20"/>
              </w:rPr>
              <w:t>月</w:t>
            </w:r>
            <w:r>
              <w:rPr>
                <w:rFonts w:hint="eastAsia"/>
                <w:b/>
                <w:bCs/>
                <w:sz w:val="20"/>
                <w:lang w:val="en-US" w:eastAsia="zh-CN"/>
              </w:rPr>
              <w:t>5</w:t>
            </w:r>
            <w:r>
              <w:rPr>
                <w:rFonts w:hint="eastAsia"/>
                <w:b/>
                <w:bCs/>
                <w:sz w:val="20"/>
              </w:rPr>
              <w:t>日至2024年</w:t>
            </w:r>
            <w:r>
              <w:rPr>
                <w:rFonts w:hint="eastAsia"/>
                <w:b/>
                <w:bCs/>
                <w:sz w:val="20"/>
                <w:lang w:val="en-US" w:eastAsia="zh-CN"/>
              </w:rPr>
              <w:t>12</w:t>
            </w:r>
            <w:r>
              <w:rPr>
                <w:rFonts w:hint="eastAsia"/>
                <w:b/>
                <w:bCs/>
                <w:sz w:val="20"/>
              </w:rPr>
              <w:t>月</w:t>
            </w:r>
            <w:r>
              <w:rPr>
                <w:rFonts w:hint="eastAsia"/>
                <w:b/>
                <w:bCs/>
                <w:sz w:val="20"/>
                <w:lang w:val="en-US" w:eastAsia="zh-CN"/>
              </w:rPr>
              <w:t>11</w:t>
            </w:r>
            <w:r>
              <w:rPr>
                <w:rFonts w:hint="eastAsia"/>
                <w:b/>
                <w:bCs/>
                <w:sz w:val="20"/>
              </w:rPr>
              <w:t>日</w:t>
            </w:r>
          </w:p>
          <w:p w14:paraId="2D7AC856">
            <w:pPr>
              <w:pStyle w:val="15"/>
              <w:rPr>
                <w:b/>
                <w:bCs/>
                <w:sz w:val="20"/>
              </w:rPr>
            </w:pPr>
            <w:r>
              <w:rPr>
                <w:sz w:val="20"/>
              </w:rPr>
              <w:t>1</w:t>
            </w:r>
            <w:r>
              <w:rPr>
                <w:rFonts w:hint="eastAsia"/>
                <w:sz w:val="20"/>
              </w:rPr>
              <w:t>、在本产品募集期内，产品管理人有权根据产品实际募集情况调整产品募集结束日，调整前将进行相关信息披露。</w:t>
            </w:r>
          </w:p>
        </w:tc>
      </w:tr>
      <w:tr w14:paraId="271C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5C9F7BA5">
            <w:pPr>
              <w:pStyle w:val="15"/>
              <w:rPr>
                <w:sz w:val="20"/>
              </w:rPr>
            </w:pPr>
            <w:r>
              <w:rPr>
                <w:rFonts w:hint="eastAsia"/>
                <w:sz w:val="20"/>
              </w:rPr>
              <w:t>产品</w:t>
            </w:r>
            <w:r>
              <w:rPr>
                <w:sz w:val="20"/>
              </w:rPr>
              <w:t>成立日</w:t>
            </w:r>
          </w:p>
        </w:tc>
        <w:tc>
          <w:tcPr>
            <w:tcW w:w="6458" w:type="dxa"/>
          </w:tcPr>
          <w:p w14:paraId="4603874A">
            <w:pPr>
              <w:pStyle w:val="15"/>
              <w:rPr>
                <w:b/>
                <w:bCs/>
                <w:sz w:val="20"/>
                <w:u w:val="single"/>
              </w:rPr>
            </w:pPr>
            <w:r>
              <w:rPr>
                <w:b/>
                <w:bCs/>
                <w:sz w:val="20"/>
              </w:rPr>
              <w:t>本产品成立日为</w:t>
            </w:r>
            <w:r>
              <w:rPr>
                <w:rFonts w:hint="eastAsia"/>
                <w:b/>
                <w:bCs/>
                <w:sz w:val="20"/>
              </w:rPr>
              <w:t>2024年</w:t>
            </w:r>
            <w:r>
              <w:rPr>
                <w:rFonts w:hint="eastAsia"/>
                <w:b/>
                <w:bCs/>
                <w:sz w:val="20"/>
                <w:lang w:val="en-US" w:eastAsia="zh-CN"/>
              </w:rPr>
              <w:t>12</w:t>
            </w:r>
            <w:r>
              <w:rPr>
                <w:rFonts w:hint="eastAsia"/>
                <w:b/>
                <w:bCs/>
                <w:sz w:val="20"/>
              </w:rPr>
              <w:t>月</w:t>
            </w:r>
            <w:r>
              <w:rPr>
                <w:rFonts w:hint="eastAsia"/>
                <w:b/>
                <w:bCs/>
                <w:sz w:val="20"/>
                <w:lang w:val="en-US" w:eastAsia="zh-CN"/>
              </w:rPr>
              <w:t>12</w:t>
            </w:r>
            <w:r>
              <w:rPr>
                <w:rFonts w:hint="eastAsia"/>
                <w:b/>
                <w:bCs/>
                <w:sz w:val="20"/>
              </w:rPr>
              <w:t>日</w:t>
            </w:r>
          </w:p>
          <w:p w14:paraId="4CDBDDC2">
            <w:pPr>
              <w:pStyle w:val="15"/>
              <w:rPr>
                <w:sz w:val="20"/>
              </w:rPr>
            </w:pPr>
            <w:r>
              <w:rPr>
                <w:rFonts w:hint="eastAsia"/>
                <w:sz w:val="20"/>
              </w:rPr>
              <w:t>1、为保护投资者权益，产品管理人可根据市场变化情况缩短或延长募集期并提前或推迟成立，届时产品管理人将调整相关日期并进行信息披露。</w:t>
            </w:r>
          </w:p>
          <w:p w14:paraId="377D0277">
            <w:pPr>
              <w:pStyle w:val="15"/>
              <w:rPr>
                <w:sz w:val="20"/>
              </w:rPr>
            </w:pPr>
            <w:r>
              <w:rPr>
                <w:rFonts w:hint="eastAsia"/>
                <w:sz w:val="20"/>
              </w:rPr>
              <w:t>2、若产品认购份额未达到最低成立规模，或遇到包括但不限于国家金融政策发生重大调整、金融市场发生重大波动、不可抗力或产品管理人认为会影响产品成立的其他因素时，产品管理人可以宣布产品不成立，投资者认购资金将于产品募集期结束后</w:t>
            </w:r>
            <w:r>
              <w:rPr>
                <w:sz w:val="20"/>
              </w:rPr>
              <w:t>5</w:t>
            </w:r>
            <w:r>
              <w:rPr>
                <w:rFonts w:hint="eastAsia"/>
                <w:sz w:val="20"/>
              </w:rPr>
              <w:t>个工作日内解冻或返还至投资者指定账户，在途期间投资本金不计息。</w:t>
            </w:r>
          </w:p>
        </w:tc>
      </w:tr>
      <w:tr w14:paraId="1607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3CB1EA2E">
            <w:pPr>
              <w:pStyle w:val="15"/>
              <w:rPr>
                <w:b/>
                <w:sz w:val="20"/>
              </w:rPr>
            </w:pPr>
            <w:r>
              <w:rPr>
                <w:rFonts w:hint="eastAsia"/>
                <w:sz w:val="20"/>
              </w:rPr>
              <w:t>产品</w:t>
            </w:r>
            <w:r>
              <w:rPr>
                <w:sz w:val="20"/>
              </w:rPr>
              <w:t>期限</w:t>
            </w:r>
          </w:p>
        </w:tc>
        <w:tc>
          <w:tcPr>
            <w:tcW w:w="6458" w:type="dxa"/>
          </w:tcPr>
          <w:p w14:paraId="3C251477">
            <w:pPr>
              <w:pStyle w:val="15"/>
              <w:rPr>
                <w:b/>
                <w:sz w:val="20"/>
              </w:rPr>
            </w:pPr>
            <w:r>
              <w:rPr>
                <w:rFonts w:hint="eastAsia"/>
                <w:b/>
                <w:sz w:val="20"/>
                <w:lang w:val="en-US" w:eastAsia="zh-CN"/>
              </w:rPr>
              <w:t>763</w:t>
            </w:r>
            <w:r>
              <w:rPr>
                <w:b/>
                <w:sz w:val="20"/>
              </w:rPr>
              <w:t>天</w:t>
            </w:r>
          </w:p>
        </w:tc>
      </w:tr>
      <w:tr w14:paraId="7C6E9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791FEFBF">
            <w:pPr>
              <w:pStyle w:val="15"/>
              <w:rPr>
                <w:sz w:val="20"/>
              </w:rPr>
            </w:pPr>
            <w:r>
              <w:rPr>
                <w:rFonts w:hint="eastAsia"/>
                <w:sz w:val="20"/>
              </w:rPr>
              <w:t>产品</w:t>
            </w:r>
            <w:r>
              <w:rPr>
                <w:sz w:val="20"/>
              </w:rPr>
              <w:t>到期</w:t>
            </w:r>
            <w:r>
              <w:rPr>
                <w:rFonts w:hint="eastAsia"/>
                <w:sz w:val="20"/>
              </w:rPr>
              <w:t>日</w:t>
            </w:r>
          </w:p>
        </w:tc>
        <w:tc>
          <w:tcPr>
            <w:tcW w:w="6458" w:type="dxa"/>
          </w:tcPr>
          <w:p w14:paraId="7176EC19">
            <w:pPr>
              <w:pStyle w:val="14"/>
              <w:rPr>
                <w:sz w:val="20"/>
              </w:rPr>
            </w:pPr>
            <w:r>
              <w:rPr>
                <w:rFonts w:hint="eastAsia"/>
                <w:sz w:val="20"/>
              </w:rPr>
              <w:t>202</w:t>
            </w:r>
            <w:r>
              <w:rPr>
                <w:rFonts w:hint="eastAsia"/>
                <w:sz w:val="20"/>
                <w:lang w:val="en-US" w:eastAsia="zh-CN"/>
              </w:rPr>
              <w:t>7</w:t>
            </w:r>
            <w:r>
              <w:rPr>
                <w:rFonts w:hint="eastAsia"/>
                <w:sz w:val="20"/>
              </w:rPr>
              <w:t>年</w:t>
            </w:r>
            <w:r>
              <w:rPr>
                <w:rFonts w:hint="eastAsia"/>
                <w:sz w:val="20"/>
                <w:lang w:val="en-US" w:eastAsia="zh-CN"/>
              </w:rPr>
              <w:t>1</w:t>
            </w:r>
            <w:r>
              <w:rPr>
                <w:rFonts w:hint="eastAsia"/>
                <w:sz w:val="20"/>
              </w:rPr>
              <w:t>月</w:t>
            </w:r>
            <w:r>
              <w:rPr>
                <w:rFonts w:hint="eastAsia"/>
                <w:sz w:val="20"/>
                <w:lang w:val="en-US" w:eastAsia="zh-CN"/>
              </w:rPr>
              <w:t>14</w:t>
            </w:r>
            <w:r>
              <w:rPr>
                <w:rFonts w:hint="eastAsia"/>
                <w:sz w:val="20"/>
              </w:rPr>
              <w:t>日</w:t>
            </w:r>
          </w:p>
          <w:p w14:paraId="6AEAA160">
            <w:pPr>
              <w:pStyle w:val="14"/>
              <w:rPr>
                <w:sz w:val="20"/>
              </w:rPr>
            </w:pPr>
            <w:r>
              <w:rPr>
                <w:rFonts w:hint="eastAsia"/>
                <w:sz w:val="20"/>
              </w:rPr>
              <w:t>产品成立日至产品到期日期间为产品存续期。详见本产品说明书第七部分理财产品到期与终止。</w:t>
            </w:r>
          </w:p>
        </w:tc>
      </w:tr>
      <w:tr w14:paraId="5CB1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116FE2BA">
            <w:pPr>
              <w:pStyle w:val="15"/>
              <w:rPr>
                <w:sz w:val="20"/>
              </w:rPr>
            </w:pPr>
            <w:r>
              <w:rPr>
                <w:rFonts w:hint="eastAsia"/>
                <w:sz w:val="20"/>
              </w:rPr>
              <w:t>认购及撤单时间</w:t>
            </w:r>
          </w:p>
        </w:tc>
        <w:tc>
          <w:tcPr>
            <w:tcW w:w="6458" w:type="dxa"/>
          </w:tcPr>
          <w:p w14:paraId="511EFA50">
            <w:pPr>
              <w:pStyle w:val="15"/>
              <w:rPr>
                <w:sz w:val="20"/>
              </w:rPr>
            </w:pPr>
            <w:r>
              <w:rPr>
                <w:sz w:val="20"/>
              </w:rPr>
              <w:t>产品募集期第一日8:30至</w:t>
            </w:r>
            <w:r>
              <w:rPr>
                <w:rFonts w:hint="eastAsia"/>
                <w:sz w:val="20"/>
              </w:rPr>
              <w:t>最后一日</w:t>
            </w:r>
            <w:r>
              <w:rPr>
                <w:sz w:val="20"/>
              </w:rPr>
              <w:t>17:</w:t>
            </w:r>
            <w:r>
              <w:rPr>
                <w:rFonts w:hint="eastAsia"/>
                <w:sz w:val="20"/>
              </w:rPr>
              <w:t>3</w:t>
            </w:r>
            <w:r>
              <w:rPr>
                <w:sz w:val="20"/>
              </w:rPr>
              <w:t>0</w:t>
            </w:r>
            <w:r>
              <w:rPr>
                <w:rFonts w:hint="eastAsia"/>
                <w:sz w:val="20"/>
              </w:rPr>
              <w:t>投资者</w:t>
            </w:r>
            <w:r>
              <w:rPr>
                <w:sz w:val="20"/>
              </w:rPr>
              <w:t>可以提交或撤销认购申请。</w:t>
            </w:r>
          </w:p>
          <w:p w14:paraId="2161F0E3">
            <w:pPr>
              <w:pStyle w:val="15"/>
              <w:rPr>
                <w:sz w:val="20"/>
              </w:rPr>
            </w:pPr>
            <w:r>
              <w:rPr>
                <w:rFonts w:hint="eastAsia"/>
                <w:sz w:val="20"/>
              </w:rPr>
              <w:t>产品实际认购及撤单时间具体以销售渠道展示为准。</w:t>
            </w:r>
          </w:p>
        </w:tc>
      </w:tr>
      <w:tr w14:paraId="1296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2C30798A">
            <w:pPr>
              <w:pStyle w:val="15"/>
              <w:rPr>
                <w:sz w:val="20"/>
              </w:rPr>
            </w:pPr>
            <w:r>
              <w:rPr>
                <w:rFonts w:hint="eastAsia"/>
                <w:sz w:val="20"/>
              </w:rPr>
              <w:t>产品</w:t>
            </w:r>
            <w:r>
              <w:rPr>
                <w:sz w:val="20"/>
              </w:rPr>
              <w:t>最低成立规模</w:t>
            </w:r>
          </w:p>
        </w:tc>
        <w:tc>
          <w:tcPr>
            <w:tcW w:w="6458" w:type="dxa"/>
          </w:tcPr>
          <w:p w14:paraId="0C5A2659">
            <w:pPr>
              <w:pStyle w:val="15"/>
              <w:rPr>
                <w:sz w:val="20"/>
              </w:rPr>
            </w:pPr>
            <w:r>
              <w:rPr>
                <w:rFonts w:hint="eastAsia"/>
                <w:sz w:val="20"/>
                <w:lang w:val="en-US" w:eastAsia="zh-CN"/>
              </w:rPr>
              <w:t>1</w:t>
            </w:r>
            <w:r>
              <w:rPr>
                <w:rFonts w:hint="eastAsia"/>
                <w:sz w:val="20"/>
              </w:rPr>
              <w:t>亿</w:t>
            </w:r>
            <w:r>
              <w:rPr>
                <w:sz w:val="20"/>
              </w:rPr>
              <w:t>元</w:t>
            </w:r>
          </w:p>
        </w:tc>
      </w:tr>
      <w:tr w14:paraId="0A74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272B3669">
            <w:pPr>
              <w:pStyle w:val="15"/>
              <w:rPr>
                <w:sz w:val="20"/>
              </w:rPr>
            </w:pPr>
            <w:r>
              <w:rPr>
                <w:sz w:val="20"/>
              </w:rPr>
              <w:t>产品规模上限</w:t>
            </w:r>
          </w:p>
        </w:tc>
        <w:tc>
          <w:tcPr>
            <w:tcW w:w="6458" w:type="dxa"/>
          </w:tcPr>
          <w:p w14:paraId="0AB9D395">
            <w:pPr>
              <w:pStyle w:val="14"/>
              <w:rPr>
                <w:sz w:val="20"/>
              </w:rPr>
            </w:pPr>
            <w:r>
              <w:rPr>
                <w:sz w:val="20"/>
              </w:rPr>
              <w:t>产品规模上限为</w:t>
            </w:r>
            <w:r>
              <w:rPr>
                <w:rFonts w:hint="eastAsia"/>
                <w:sz w:val="20"/>
              </w:rPr>
              <w:t>5</w:t>
            </w:r>
            <w:r>
              <w:rPr>
                <w:sz w:val="20"/>
              </w:rPr>
              <w:t>0</w:t>
            </w:r>
            <w:r>
              <w:rPr>
                <w:rFonts w:hint="eastAsia"/>
                <w:sz w:val="20"/>
              </w:rPr>
              <w:t>亿</w:t>
            </w:r>
            <w:r>
              <w:rPr>
                <w:sz w:val="20"/>
              </w:rPr>
              <w:t>元</w:t>
            </w:r>
          </w:p>
          <w:p w14:paraId="1FFF5C2A">
            <w:pPr>
              <w:pStyle w:val="14"/>
              <w:rPr>
                <w:sz w:val="20"/>
              </w:rPr>
            </w:pPr>
            <w:r>
              <w:rPr>
                <w:rFonts w:hint="eastAsia"/>
                <w:sz w:val="20"/>
              </w:rPr>
              <w:t>产品管理人可根据市场情况等调整产品规模的上限，调整前将进行相关信息披露。</w:t>
            </w:r>
          </w:p>
        </w:tc>
      </w:tr>
      <w:tr w14:paraId="5FB2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11F4226A">
            <w:pPr>
              <w:pStyle w:val="15"/>
              <w:rPr>
                <w:sz w:val="20"/>
              </w:rPr>
            </w:pPr>
            <w:r>
              <w:rPr>
                <w:rFonts w:hint="eastAsia"/>
                <w:sz w:val="20"/>
              </w:rPr>
              <w:t>首次</w:t>
            </w:r>
            <w:r>
              <w:rPr>
                <w:sz w:val="20"/>
              </w:rPr>
              <w:t>购买起点金额</w:t>
            </w:r>
          </w:p>
        </w:tc>
        <w:tc>
          <w:tcPr>
            <w:tcW w:w="6458" w:type="dxa"/>
            <w:vAlign w:val="center"/>
          </w:tcPr>
          <w:p w14:paraId="7F12A3AB">
            <w:pPr>
              <w:pStyle w:val="15"/>
              <w:rPr>
                <w:rFonts w:hint="default" w:eastAsia="黑体"/>
                <w:sz w:val="20"/>
                <w:lang w:val="en-US" w:eastAsia="zh-CN"/>
              </w:rPr>
            </w:pPr>
            <w:r>
              <w:rPr>
                <w:rFonts w:hint="eastAsia"/>
                <w:sz w:val="20"/>
              </w:rPr>
              <w:t>A、</w:t>
            </w:r>
            <w:r>
              <w:rPr>
                <w:sz w:val="20"/>
              </w:rPr>
              <w:t>B</w:t>
            </w:r>
            <w:r>
              <w:rPr>
                <w:rFonts w:hint="eastAsia"/>
                <w:sz w:val="20"/>
                <w:lang w:eastAsia="zh-CN"/>
              </w:rPr>
              <w:t>、</w:t>
            </w:r>
            <w:r>
              <w:rPr>
                <w:rFonts w:hint="eastAsia"/>
                <w:sz w:val="20"/>
                <w:lang w:val="en-US" w:eastAsia="zh-CN"/>
              </w:rPr>
              <w:t>C、D、E份额</w:t>
            </w:r>
            <w:r>
              <w:rPr>
                <w:rFonts w:hint="eastAsia"/>
                <w:sz w:val="20"/>
              </w:rPr>
              <w:t>：个人投资者1元起售，机构投资者10元起售</w:t>
            </w:r>
          </w:p>
          <w:p w14:paraId="4A55C78F">
            <w:pPr>
              <w:pStyle w:val="15"/>
              <w:rPr>
                <w:sz w:val="20"/>
              </w:rPr>
            </w:pPr>
            <w:r>
              <w:rPr>
                <w:rFonts w:hint="eastAsia"/>
                <w:sz w:val="20"/>
              </w:rPr>
              <w:t>（销售机构可以不低于上述标准设置起购金额，投资者购买本理财产品时以该销售机构最终要求为准）</w:t>
            </w:r>
          </w:p>
        </w:tc>
      </w:tr>
      <w:tr w14:paraId="51C0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06B3C3F5">
            <w:pPr>
              <w:pStyle w:val="15"/>
              <w:rPr>
                <w:sz w:val="20"/>
              </w:rPr>
            </w:pPr>
            <w:r>
              <w:rPr>
                <w:rFonts w:hint="eastAsia"/>
                <w:sz w:val="20"/>
              </w:rPr>
              <w:t>追加购买</w:t>
            </w:r>
            <w:r>
              <w:rPr>
                <w:sz w:val="20"/>
              </w:rPr>
              <w:t>金额</w:t>
            </w:r>
          </w:p>
        </w:tc>
        <w:tc>
          <w:tcPr>
            <w:tcW w:w="6458" w:type="dxa"/>
          </w:tcPr>
          <w:p w14:paraId="2C256176">
            <w:pPr>
              <w:pStyle w:val="15"/>
              <w:rPr>
                <w:sz w:val="20"/>
              </w:rPr>
            </w:pPr>
            <w:r>
              <w:rPr>
                <w:rFonts w:hint="eastAsia"/>
                <w:sz w:val="20"/>
              </w:rPr>
              <w:t>A、B</w:t>
            </w:r>
            <w:r>
              <w:rPr>
                <w:rFonts w:hint="eastAsia"/>
                <w:sz w:val="20"/>
                <w:lang w:eastAsia="zh-CN"/>
              </w:rPr>
              <w:t>、</w:t>
            </w:r>
            <w:r>
              <w:rPr>
                <w:rFonts w:hint="eastAsia"/>
                <w:sz w:val="20"/>
                <w:lang w:val="en-US" w:eastAsia="zh-CN"/>
              </w:rPr>
              <w:t>C、D、E</w:t>
            </w:r>
            <w:r>
              <w:rPr>
                <w:rFonts w:hint="eastAsia"/>
                <w:sz w:val="20"/>
              </w:rPr>
              <w:t>份额：追加金额以</w:t>
            </w:r>
            <w:r>
              <w:rPr>
                <w:sz w:val="20"/>
              </w:rPr>
              <w:t>1元整数倍增加，追加购买金额中不足1元的部分，产品管理人有权不确认。</w:t>
            </w:r>
          </w:p>
          <w:p w14:paraId="2463EAC8">
            <w:pPr>
              <w:pStyle w:val="15"/>
              <w:rPr>
                <w:sz w:val="20"/>
              </w:rPr>
            </w:pPr>
            <w:r>
              <w:rPr>
                <w:rFonts w:hint="eastAsia"/>
                <w:sz w:val="20"/>
              </w:rPr>
              <w:t>（销售机构可以不低于上述标准设置追加购买金额，投资者购买本理财产品时以该销售机构最终要求为准）</w:t>
            </w:r>
          </w:p>
        </w:tc>
      </w:tr>
      <w:tr w14:paraId="4398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center"/>
          </w:tcPr>
          <w:p w14:paraId="6CCAB238">
            <w:pPr>
              <w:pStyle w:val="15"/>
              <w:rPr>
                <w:sz w:val="20"/>
              </w:rPr>
            </w:pPr>
            <w:r>
              <w:rPr>
                <w:rFonts w:hint="eastAsia"/>
                <w:sz w:val="20"/>
              </w:rPr>
              <w:t>单户限额</w:t>
            </w:r>
          </w:p>
        </w:tc>
        <w:tc>
          <w:tcPr>
            <w:tcW w:w="6458" w:type="dxa"/>
            <w:tcBorders>
              <w:top w:val="single" w:color="auto" w:sz="4" w:space="0"/>
              <w:left w:val="single" w:color="auto" w:sz="4" w:space="0"/>
              <w:bottom w:val="single" w:color="auto" w:sz="4" w:space="0"/>
              <w:right w:val="single" w:color="auto" w:sz="4" w:space="0"/>
            </w:tcBorders>
          </w:tcPr>
          <w:p w14:paraId="6F265C7C">
            <w:pPr>
              <w:pStyle w:val="15"/>
              <w:rPr>
                <w:sz w:val="20"/>
              </w:rPr>
            </w:pPr>
            <w:r>
              <w:rPr>
                <w:b/>
                <w:bCs/>
                <w:sz w:val="20"/>
              </w:rPr>
              <w:t>单个投资者对本产品持有金额上限为</w:t>
            </w:r>
            <w:r>
              <w:rPr>
                <w:rFonts w:hint="eastAsia"/>
                <w:b/>
                <w:bCs/>
                <w:sz w:val="20"/>
              </w:rPr>
              <w:t>A、</w:t>
            </w:r>
            <w:r>
              <w:rPr>
                <w:b/>
                <w:bCs/>
                <w:sz w:val="20"/>
              </w:rPr>
              <w:t>B</w:t>
            </w:r>
            <w:r>
              <w:rPr>
                <w:rFonts w:hint="eastAsia"/>
                <w:b/>
                <w:bCs/>
                <w:sz w:val="20"/>
                <w:lang w:eastAsia="zh-CN"/>
              </w:rPr>
              <w:t>、</w:t>
            </w:r>
            <w:r>
              <w:rPr>
                <w:rFonts w:hint="eastAsia"/>
                <w:b/>
                <w:bCs/>
                <w:sz w:val="20"/>
                <w:lang w:val="en-US" w:eastAsia="zh-CN"/>
              </w:rPr>
              <w:t>C、D、E</w:t>
            </w:r>
            <w:r>
              <w:rPr>
                <w:rFonts w:hint="eastAsia"/>
                <w:b/>
                <w:bCs/>
                <w:sz w:val="20"/>
              </w:rPr>
              <w:t>份额均不设</w:t>
            </w:r>
            <w:r>
              <w:rPr>
                <w:b/>
                <w:bCs/>
                <w:sz w:val="20"/>
              </w:rPr>
              <w:t>上限</w:t>
            </w:r>
            <w:r>
              <w:rPr>
                <w:sz w:val="20"/>
              </w:rPr>
              <w:t>；若单个投资者对本产品持有金额达到上限的，产品管理人</w:t>
            </w:r>
            <w:r>
              <w:rPr>
                <w:rFonts w:hint="eastAsia"/>
                <w:sz w:val="20"/>
              </w:rPr>
              <w:t>有权</w:t>
            </w:r>
            <w:r>
              <w:rPr>
                <w:sz w:val="20"/>
              </w:rPr>
              <w:t>不再继续接受其认购。</w:t>
            </w:r>
            <w:r>
              <w:rPr>
                <w:rFonts w:hint="eastAsia"/>
                <w:sz w:val="20"/>
              </w:rPr>
              <w:t>若单个投资者对本产品持有金额达到上限以后仍有认</w:t>
            </w:r>
            <w:r>
              <w:rPr>
                <w:sz w:val="20"/>
              </w:rPr>
              <w:t xml:space="preserve"> (申)购需求的，可咨询本产品销售机构各营业网点或通过电话方式咨询其客服热线，产品管理人将审慎分析评估其认 (申)购申请，当继续接受其认 (申)购可能对理财产品存量投资者利益构成重大不利影响时，或者基于投资运作与风险控制需要，产品管理人有权不再继续接受其认 (申)购。</w:t>
            </w:r>
          </w:p>
          <w:p w14:paraId="68682509">
            <w:pPr>
              <w:autoSpaceDE w:val="0"/>
              <w:autoSpaceDN w:val="0"/>
              <w:adjustRightInd w:val="0"/>
              <w:jc w:val="left"/>
              <w:rPr>
                <w:rFonts w:cs="黑体"/>
                <w:kern w:val="0"/>
                <w:sz w:val="20"/>
                <w:szCs w:val="20"/>
              </w:rPr>
            </w:pPr>
            <w:r>
              <w:rPr>
                <w:rFonts w:hint="eastAsia" w:ascii="黑体" w:hAnsi="黑体" w:cs="黑体"/>
                <w:b/>
                <w:kern w:val="0"/>
                <w:sz w:val="20"/>
                <w:szCs w:val="21"/>
                <w:u w:val="single"/>
              </w:rPr>
              <w:t>非因产品管理人主观因素导致单一投资者持有份额比例超过总份额的</w:t>
            </w:r>
            <w:r>
              <w:rPr>
                <w:rFonts w:ascii="黑体" w:hAnsi="黑体" w:cs="黑体"/>
                <w:b/>
                <w:kern w:val="0"/>
                <w:sz w:val="20"/>
                <w:szCs w:val="21"/>
                <w:u w:val="single"/>
              </w:rPr>
              <w:t>50%（含）时，产品管理人将暂停接受其认购申请。</w:t>
            </w:r>
          </w:p>
        </w:tc>
      </w:tr>
      <w:tr w14:paraId="6503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7EB2FF2F">
            <w:pPr>
              <w:pStyle w:val="15"/>
              <w:rPr>
                <w:sz w:val="20"/>
              </w:rPr>
            </w:pPr>
            <w:r>
              <w:rPr>
                <w:rFonts w:hint="eastAsia"/>
                <w:sz w:val="20"/>
              </w:rPr>
              <w:t>销售</w:t>
            </w:r>
            <w:r>
              <w:rPr>
                <w:sz w:val="20"/>
              </w:rPr>
              <w:t>区域</w:t>
            </w:r>
          </w:p>
        </w:tc>
        <w:tc>
          <w:tcPr>
            <w:tcW w:w="6458" w:type="dxa"/>
          </w:tcPr>
          <w:p w14:paraId="5C77D016">
            <w:pPr>
              <w:pStyle w:val="15"/>
              <w:rPr>
                <w:sz w:val="20"/>
              </w:rPr>
            </w:pPr>
            <w:r>
              <w:rPr>
                <w:rFonts w:hint="eastAsia"/>
                <w:sz w:val="20"/>
              </w:rPr>
              <w:t>全国</w:t>
            </w:r>
            <w:r>
              <w:rPr>
                <w:sz w:val="20"/>
              </w:rPr>
              <w:t>（不含港澳台地区）</w:t>
            </w:r>
          </w:p>
        </w:tc>
      </w:tr>
      <w:tr w14:paraId="5CA2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4C66E696">
            <w:pPr>
              <w:pStyle w:val="15"/>
              <w:rPr>
                <w:sz w:val="20"/>
              </w:rPr>
            </w:pPr>
            <w:r>
              <w:rPr>
                <w:rFonts w:hint="eastAsia"/>
                <w:sz w:val="20"/>
              </w:rPr>
              <w:t>管理机构/产品管理人</w:t>
            </w:r>
          </w:p>
        </w:tc>
        <w:tc>
          <w:tcPr>
            <w:tcW w:w="6458" w:type="dxa"/>
            <w:vAlign w:val="center"/>
          </w:tcPr>
          <w:p w14:paraId="7884DA88">
            <w:pPr>
              <w:pStyle w:val="15"/>
              <w:rPr>
                <w:sz w:val="20"/>
              </w:rPr>
            </w:pPr>
            <w:r>
              <w:rPr>
                <w:rFonts w:hint="eastAsia"/>
                <w:sz w:val="20"/>
              </w:rPr>
              <w:t>宁银理财</w:t>
            </w:r>
            <w:r>
              <w:rPr>
                <w:sz w:val="20"/>
              </w:rPr>
              <w:t>有限责任公司</w:t>
            </w:r>
          </w:p>
        </w:tc>
      </w:tr>
      <w:tr w14:paraId="04C1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6A92A8DA">
            <w:pPr>
              <w:pStyle w:val="15"/>
              <w:rPr>
                <w:sz w:val="20"/>
              </w:rPr>
            </w:pPr>
            <w:r>
              <w:rPr>
                <w:rFonts w:hint="eastAsia"/>
                <w:sz w:val="20"/>
              </w:rPr>
              <w:t>销售</w:t>
            </w:r>
            <w:r>
              <w:rPr>
                <w:sz w:val="20"/>
              </w:rPr>
              <w:t>机构</w:t>
            </w:r>
          </w:p>
        </w:tc>
        <w:tc>
          <w:tcPr>
            <w:tcW w:w="6458" w:type="dxa"/>
          </w:tcPr>
          <w:p w14:paraId="579B0BEB">
            <w:pPr>
              <w:pStyle w:val="15"/>
              <w:rPr>
                <w:rFonts w:hint="default" w:eastAsia="黑体"/>
                <w:sz w:val="20"/>
                <w:lang w:val="en-US" w:eastAsia="zh-CN"/>
              </w:rPr>
            </w:pPr>
            <w:r>
              <w:rPr>
                <w:sz w:val="20"/>
              </w:rPr>
              <w:t>宁波银行股份有限公司</w:t>
            </w:r>
            <w:r>
              <w:rPr>
                <w:rFonts w:hint="eastAsia"/>
                <w:sz w:val="20"/>
                <w:lang w:eastAsia="zh-CN"/>
              </w:rPr>
              <w:t>、</w:t>
            </w:r>
            <w:r>
              <w:rPr>
                <w:rFonts w:hint="eastAsia"/>
                <w:sz w:val="20"/>
                <w:lang w:val="en-US" w:eastAsia="zh-CN"/>
              </w:rPr>
              <w:t>绍兴银行股份有限公司、江苏常熟农村商业银行股份有限公司、</w:t>
            </w:r>
            <w:r>
              <w:rPr>
                <w:rFonts w:hint="eastAsia"/>
                <w:sz w:val="20"/>
              </w:rPr>
              <w:t>宁银理财</w:t>
            </w:r>
            <w:r>
              <w:rPr>
                <w:sz w:val="20"/>
              </w:rPr>
              <w:t>有限责任公司</w:t>
            </w:r>
            <w:r>
              <w:rPr>
                <w:rFonts w:hint="eastAsia"/>
                <w:sz w:val="20"/>
                <w:lang w:eastAsia="zh-CN"/>
              </w:rPr>
              <w:t>、</w:t>
            </w:r>
            <w:r>
              <w:rPr>
                <w:rFonts w:hint="eastAsia"/>
                <w:sz w:val="20"/>
                <w:lang w:val="en-US" w:eastAsia="zh-CN"/>
              </w:rPr>
              <w:t>桂林银行股份有限公司、威海市商业银行</w:t>
            </w:r>
            <w:r>
              <w:rPr>
                <w:rFonts w:hint="eastAsia"/>
                <w:sz w:val="20"/>
              </w:rPr>
              <w:t>股份有限公司</w:t>
            </w:r>
          </w:p>
        </w:tc>
      </w:tr>
      <w:tr w14:paraId="527D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4B39B73E">
            <w:pPr>
              <w:pStyle w:val="15"/>
              <w:rPr>
                <w:sz w:val="20"/>
              </w:rPr>
            </w:pPr>
            <w:r>
              <w:rPr>
                <w:rFonts w:hint="eastAsia"/>
                <w:sz w:val="20"/>
              </w:rPr>
              <w:t>托管机构</w:t>
            </w:r>
          </w:p>
        </w:tc>
        <w:tc>
          <w:tcPr>
            <w:tcW w:w="6458" w:type="dxa"/>
          </w:tcPr>
          <w:p w14:paraId="581527A7">
            <w:pPr>
              <w:pStyle w:val="15"/>
              <w:rPr>
                <w:sz w:val="20"/>
              </w:rPr>
            </w:pPr>
            <w:r>
              <w:rPr>
                <w:sz w:val="20"/>
              </w:rPr>
              <w:t>宁波银行股份有限公司</w:t>
            </w:r>
          </w:p>
        </w:tc>
      </w:tr>
      <w:tr w14:paraId="64EA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1F30EA63">
            <w:pPr>
              <w:pStyle w:val="15"/>
              <w:rPr>
                <w:sz w:val="20"/>
              </w:rPr>
            </w:pPr>
            <w:r>
              <w:rPr>
                <w:rFonts w:hint="eastAsia"/>
                <w:sz w:val="20"/>
              </w:rPr>
              <w:t>投资合作机构</w:t>
            </w:r>
          </w:p>
        </w:tc>
        <w:tc>
          <w:tcPr>
            <w:tcW w:w="6458" w:type="dxa"/>
          </w:tcPr>
          <w:p w14:paraId="7120FC7E">
            <w:pPr>
              <w:pStyle w:val="15"/>
              <w:rPr>
                <w:sz w:val="20"/>
              </w:rPr>
            </w:pPr>
            <w:r>
              <w:rPr>
                <w:rFonts w:hint="eastAsia"/>
                <w:sz w:val="20"/>
              </w:rPr>
              <w:t>投资合作机构包括但不限于理财产品所投资资产管理产品的发行机构、根据合同约定从事理财产品受托投资的机构以及与理财产品投资管理相关的投资顾问等。</w:t>
            </w:r>
          </w:p>
          <w:p w14:paraId="3067B671">
            <w:pPr>
              <w:pStyle w:val="15"/>
              <w:rPr>
                <w:sz w:val="20"/>
              </w:rPr>
            </w:pPr>
            <w:r>
              <w:rPr>
                <w:rFonts w:hint="eastAsia"/>
                <w:sz w:val="20"/>
              </w:rPr>
              <w:t>本理财产品投资合作机构为可能包括但不限于太平资产管理有限公司、中国国际金融股份有限公司、平安证券股份有限公司等。</w:t>
            </w:r>
          </w:p>
          <w:p w14:paraId="493EB739">
            <w:pPr>
              <w:pStyle w:val="15"/>
              <w:rPr>
                <w:sz w:val="20"/>
              </w:rPr>
            </w:pPr>
            <w:r>
              <w:rPr>
                <w:rFonts w:hint="eastAsia"/>
                <w:sz w:val="20"/>
              </w:rPr>
              <w:t>后续新增投资合作机构时，管理人将对合作机构的资质条件、专业服务能力和风险管理水平等进行充分评价，切实履行投资管理职责。</w:t>
            </w:r>
          </w:p>
        </w:tc>
      </w:tr>
      <w:tr w14:paraId="4BDE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1C877D54">
            <w:pPr>
              <w:pStyle w:val="15"/>
              <w:rPr>
                <w:sz w:val="20"/>
              </w:rPr>
            </w:pPr>
            <w:r>
              <w:rPr>
                <w:rFonts w:hint="eastAsia"/>
                <w:sz w:val="20"/>
              </w:rPr>
              <w:t>产品</w:t>
            </w:r>
            <w:r>
              <w:rPr>
                <w:sz w:val="20"/>
              </w:rPr>
              <w:t>费用</w:t>
            </w:r>
            <w:r>
              <w:rPr>
                <w:rFonts w:hint="eastAsia"/>
                <w:sz w:val="20"/>
              </w:rPr>
              <w:t>及</w:t>
            </w:r>
            <w:r>
              <w:rPr>
                <w:sz w:val="20"/>
              </w:rPr>
              <w:t>税收</w:t>
            </w:r>
            <w:r>
              <w:rPr>
                <w:rFonts w:hint="eastAsia"/>
                <w:sz w:val="20"/>
              </w:rPr>
              <w:t>规定</w:t>
            </w:r>
          </w:p>
        </w:tc>
        <w:tc>
          <w:tcPr>
            <w:tcW w:w="6458" w:type="dxa"/>
          </w:tcPr>
          <w:p w14:paraId="33B7DC2F">
            <w:pPr>
              <w:pStyle w:val="14"/>
              <w:rPr>
                <w:rFonts w:hint="default" w:eastAsia="黑体"/>
                <w:sz w:val="20"/>
                <w:lang w:val="en-US" w:eastAsia="zh-CN"/>
              </w:rPr>
            </w:pPr>
            <w:r>
              <w:rPr>
                <w:sz w:val="20"/>
              </w:rPr>
              <w:t>本产品收取的费用为固定管理费</w:t>
            </w:r>
            <w:r>
              <w:rPr>
                <w:rFonts w:hint="eastAsia"/>
                <w:sz w:val="20"/>
              </w:rPr>
              <w:t>、托管费</w:t>
            </w:r>
            <w:r>
              <w:rPr>
                <w:sz w:val="20"/>
              </w:rPr>
              <w:t>及浮动管理费等。</w:t>
            </w:r>
            <w:r>
              <w:rPr>
                <w:rFonts w:hint="eastAsia"/>
                <w:sz w:val="20"/>
              </w:rPr>
              <w:t>其中，</w:t>
            </w:r>
            <w:r>
              <w:rPr>
                <w:sz w:val="20"/>
              </w:rPr>
              <w:t>A</w:t>
            </w:r>
            <w:r>
              <w:rPr>
                <w:rFonts w:hint="eastAsia"/>
                <w:sz w:val="20"/>
              </w:rPr>
              <w:t>份额固定管理费率0.</w:t>
            </w:r>
            <w:r>
              <w:rPr>
                <w:rFonts w:hint="eastAsia"/>
                <w:sz w:val="20"/>
                <w:lang w:val="en-US" w:eastAsia="zh-CN"/>
              </w:rPr>
              <w:t>40</w:t>
            </w:r>
            <w:r>
              <w:rPr>
                <w:rFonts w:hint="eastAsia"/>
                <w:sz w:val="20"/>
              </w:rPr>
              <w:t>%</w:t>
            </w:r>
            <w:r>
              <w:rPr>
                <w:sz w:val="20"/>
              </w:rPr>
              <w:t>（年化）</w:t>
            </w:r>
            <w:r>
              <w:rPr>
                <w:rFonts w:hint="eastAsia"/>
                <w:sz w:val="20"/>
              </w:rPr>
              <w:t>；</w:t>
            </w:r>
            <w:r>
              <w:rPr>
                <w:sz w:val="20"/>
              </w:rPr>
              <w:t>B份额固定管理费率</w:t>
            </w:r>
            <w:r>
              <w:rPr>
                <w:rFonts w:hint="eastAsia"/>
                <w:sz w:val="20"/>
              </w:rPr>
              <w:t>0.3</w:t>
            </w:r>
            <w:r>
              <w:rPr>
                <w:rFonts w:hint="eastAsia"/>
                <w:sz w:val="20"/>
                <w:lang w:val="en-US" w:eastAsia="zh-CN"/>
              </w:rPr>
              <w:t>5</w:t>
            </w:r>
            <w:r>
              <w:rPr>
                <w:rFonts w:hint="eastAsia"/>
                <w:sz w:val="20"/>
              </w:rPr>
              <w:t>%</w:t>
            </w:r>
            <w:r>
              <w:rPr>
                <w:sz w:val="20"/>
              </w:rPr>
              <w:t>（年化）</w:t>
            </w:r>
            <w:r>
              <w:rPr>
                <w:rFonts w:hint="eastAsia"/>
                <w:sz w:val="20"/>
              </w:rPr>
              <w:t>；</w:t>
            </w:r>
            <w:r>
              <w:rPr>
                <w:rFonts w:hint="eastAsia"/>
                <w:sz w:val="20"/>
                <w:lang w:val="en-US" w:eastAsia="zh-CN"/>
              </w:rPr>
              <w:t>C份额</w:t>
            </w:r>
            <w:r>
              <w:rPr>
                <w:sz w:val="20"/>
              </w:rPr>
              <w:t>固定管理费率</w:t>
            </w:r>
            <w:r>
              <w:rPr>
                <w:rFonts w:hint="eastAsia"/>
                <w:sz w:val="20"/>
              </w:rPr>
              <w:t>0.</w:t>
            </w:r>
            <w:r>
              <w:rPr>
                <w:rFonts w:hint="eastAsia"/>
                <w:sz w:val="20"/>
                <w:lang w:val="en-US" w:eastAsia="zh-CN"/>
              </w:rPr>
              <w:t>13</w:t>
            </w:r>
            <w:r>
              <w:rPr>
                <w:rFonts w:hint="eastAsia"/>
                <w:sz w:val="20"/>
              </w:rPr>
              <w:t>%</w:t>
            </w:r>
            <w:r>
              <w:rPr>
                <w:sz w:val="20"/>
              </w:rPr>
              <w:t>（年化）</w:t>
            </w:r>
            <w:r>
              <w:rPr>
                <w:rFonts w:hint="eastAsia"/>
                <w:sz w:val="20"/>
                <w:lang w:eastAsia="zh-CN"/>
              </w:rPr>
              <w:t>；</w:t>
            </w:r>
            <w:r>
              <w:rPr>
                <w:rFonts w:hint="eastAsia"/>
                <w:sz w:val="20"/>
                <w:lang w:val="en-US" w:eastAsia="zh-CN"/>
              </w:rPr>
              <w:t>D份额</w:t>
            </w:r>
            <w:r>
              <w:rPr>
                <w:sz w:val="20"/>
              </w:rPr>
              <w:t>固定管理费率</w:t>
            </w:r>
            <w:r>
              <w:rPr>
                <w:rFonts w:hint="eastAsia"/>
                <w:sz w:val="20"/>
              </w:rPr>
              <w:t>0.</w:t>
            </w:r>
            <w:r>
              <w:rPr>
                <w:rFonts w:hint="eastAsia"/>
                <w:sz w:val="20"/>
                <w:lang w:val="en-US" w:eastAsia="zh-CN"/>
              </w:rPr>
              <w:t>30</w:t>
            </w:r>
            <w:r>
              <w:rPr>
                <w:rFonts w:hint="eastAsia"/>
                <w:sz w:val="20"/>
              </w:rPr>
              <w:t>%</w:t>
            </w:r>
            <w:r>
              <w:rPr>
                <w:sz w:val="20"/>
              </w:rPr>
              <w:t>（年化）</w:t>
            </w:r>
            <w:r>
              <w:rPr>
                <w:rFonts w:hint="eastAsia"/>
                <w:sz w:val="20"/>
                <w:lang w:eastAsia="zh-CN"/>
              </w:rPr>
              <w:t>；</w:t>
            </w:r>
            <w:r>
              <w:rPr>
                <w:rFonts w:hint="eastAsia"/>
                <w:sz w:val="20"/>
                <w:lang w:val="en-US" w:eastAsia="zh-CN"/>
              </w:rPr>
              <w:t>E份额固定管理费率0.20%（年化）</w:t>
            </w:r>
          </w:p>
          <w:p w14:paraId="71FB00BB">
            <w:pPr>
              <w:pStyle w:val="14"/>
              <w:rPr>
                <w:sz w:val="20"/>
              </w:rPr>
            </w:pPr>
            <w:r>
              <w:rPr>
                <w:rFonts w:hint="eastAsia"/>
                <w:sz w:val="20"/>
              </w:rPr>
              <w:t>详见</w:t>
            </w:r>
            <w:r>
              <w:rPr>
                <w:sz w:val="20"/>
              </w:rPr>
              <w:t>本说明书第</w:t>
            </w:r>
            <w:r>
              <w:rPr>
                <w:rFonts w:hint="eastAsia"/>
                <w:sz w:val="20"/>
              </w:rPr>
              <w:t>六</w:t>
            </w:r>
            <w:r>
              <w:rPr>
                <w:sz w:val="20"/>
              </w:rPr>
              <w:t>部分</w:t>
            </w:r>
            <w:r>
              <w:rPr>
                <w:rFonts w:hint="eastAsia"/>
                <w:sz w:val="20"/>
              </w:rPr>
              <w:t>产品费用、收益及税收说明</w:t>
            </w:r>
            <w:r>
              <w:rPr>
                <w:sz w:val="20"/>
              </w:rPr>
              <w:t>。</w:t>
            </w:r>
          </w:p>
        </w:tc>
      </w:tr>
      <w:tr w14:paraId="3EE0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31AB1AFE">
            <w:pPr>
              <w:pStyle w:val="15"/>
              <w:rPr>
                <w:sz w:val="20"/>
              </w:rPr>
            </w:pPr>
            <w:r>
              <w:rPr>
                <w:rFonts w:hint="eastAsia"/>
                <w:sz w:val="20"/>
              </w:rPr>
              <w:t>其他</w:t>
            </w:r>
          </w:p>
        </w:tc>
        <w:tc>
          <w:tcPr>
            <w:tcW w:w="6458" w:type="dxa"/>
          </w:tcPr>
          <w:p w14:paraId="718EA0A9">
            <w:pPr>
              <w:pStyle w:val="15"/>
              <w:rPr>
                <w:b/>
                <w:bCs/>
                <w:sz w:val="20"/>
              </w:rPr>
            </w:pPr>
            <w:r>
              <w:rPr>
                <w:b/>
                <w:bCs/>
                <w:sz w:val="20"/>
              </w:rPr>
              <w:t>1、在本产品存续期内，产品管理人有权根据市场情况调整本产品前述产品要素，调整前将进行相关信息披露。</w:t>
            </w:r>
          </w:p>
          <w:p w14:paraId="1314BCC3">
            <w:pPr>
              <w:pStyle w:val="15"/>
              <w:rPr>
                <w:sz w:val="20"/>
              </w:rPr>
            </w:pPr>
            <w:r>
              <w:rPr>
                <w:sz w:val="20"/>
              </w:rPr>
              <w:t>2、产品成立日和到期日如遇非工作日，则顺延至下一工作日</w:t>
            </w:r>
          </w:p>
          <w:p w14:paraId="31BD935C">
            <w:pPr>
              <w:rPr>
                <w:rFonts w:cs="黑体"/>
                <w:kern w:val="0"/>
                <w:sz w:val="20"/>
                <w:szCs w:val="20"/>
              </w:rPr>
            </w:pPr>
            <w:r>
              <w:rPr>
                <w:rFonts w:ascii="黑体" w:hAnsi="黑体" w:cs="黑体"/>
                <w:kern w:val="0"/>
                <w:sz w:val="20"/>
                <w:szCs w:val="21"/>
              </w:rPr>
              <w:t>3</w:t>
            </w:r>
            <w:r>
              <w:rPr>
                <w:rFonts w:hint="eastAsia" w:ascii="黑体" w:hAnsi="黑体" w:cs="黑体"/>
                <w:kern w:val="0"/>
                <w:sz w:val="20"/>
                <w:szCs w:val="21"/>
              </w:rPr>
              <w:t>、本产品说明书中的工作日指国家法定工作日。</w:t>
            </w:r>
          </w:p>
          <w:p w14:paraId="21C1F3E9">
            <w:pPr>
              <w:pStyle w:val="15"/>
              <w:rPr>
                <w:sz w:val="20"/>
              </w:rPr>
            </w:pPr>
            <w:r>
              <w:rPr>
                <w:rFonts w:hint="eastAsia"/>
                <w:sz w:val="20"/>
              </w:rPr>
              <w:t>4</w:t>
            </w:r>
            <w:r>
              <w:rPr>
                <w:sz w:val="20"/>
              </w:rPr>
              <w:t>、其他：无</w:t>
            </w:r>
          </w:p>
        </w:tc>
      </w:tr>
    </w:tbl>
    <w:p w14:paraId="6E80B9D6">
      <w:pPr>
        <w:autoSpaceDE w:val="0"/>
        <w:autoSpaceDN w:val="0"/>
        <w:adjustRightInd w:val="0"/>
        <w:jc w:val="left"/>
        <w:rPr>
          <w:rFonts w:ascii="黑体" w:cs="黑体"/>
          <w:kern w:val="0"/>
          <w:sz w:val="18"/>
          <w:szCs w:val="18"/>
        </w:rPr>
      </w:pPr>
    </w:p>
    <w:p w14:paraId="7AC188D6">
      <w:pPr>
        <w:autoSpaceDE w:val="0"/>
        <w:autoSpaceDN w:val="0"/>
        <w:adjustRightInd w:val="0"/>
        <w:jc w:val="left"/>
        <w:rPr>
          <w:rFonts w:ascii="黑体" w:hAnsi="黑体" w:cs="黑体"/>
          <w:b/>
          <w:kern w:val="0"/>
          <w:szCs w:val="21"/>
        </w:rPr>
      </w:pPr>
      <w:r>
        <w:rPr>
          <w:rFonts w:hint="eastAsia" w:ascii="黑体" w:hAnsi="黑体" w:cs="黑体"/>
          <w:b/>
          <w:kern w:val="0"/>
          <w:szCs w:val="21"/>
        </w:rPr>
        <w:t>三、产品投资管理</w:t>
      </w:r>
    </w:p>
    <w:p w14:paraId="538D0887">
      <w:pPr>
        <w:pStyle w:val="15"/>
      </w:pPr>
      <w:r>
        <w:rPr>
          <w:rFonts w:hint="eastAsia"/>
        </w:rPr>
        <w:t>（一）投资范围</w:t>
      </w:r>
    </w:p>
    <w:p w14:paraId="3DF3A22B">
      <w:pPr>
        <w:pStyle w:val="15"/>
      </w:pPr>
      <w:r>
        <w:rPr>
          <w:rFonts w:hint="eastAsia"/>
        </w:rPr>
        <w:t xml:space="preserve">    本</w:t>
      </w:r>
      <w:r>
        <w:t>产品主要投资于以下</w:t>
      </w:r>
      <w:r>
        <w:rPr>
          <w:rFonts w:hint="eastAsia"/>
        </w:rPr>
        <w:t>符合监管</w:t>
      </w:r>
      <w:r>
        <w:t>要求的各类资产：</w:t>
      </w:r>
    </w:p>
    <w:p w14:paraId="62342736">
      <w:pPr>
        <w:pStyle w:val="15"/>
        <w:ind w:firstLine="420" w:firstLineChars="200"/>
      </w:pPr>
      <w:r>
        <w:t>一是固定收益类资产，包括但不限于各类债券、存款、货币市场工具、质押式和买断式债券</w:t>
      </w:r>
      <w:r>
        <w:rPr>
          <w:rFonts w:hint="eastAsia"/>
        </w:rPr>
        <w:t>逆</w:t>
      </w:r>
      <w:r>
        <w:t>回购、公募资产管理产品和非标准化债权资产等；二是权益类资产，包括但不限于股票、ETF、公募资产管理产品等；三是商品及衍生品类资产，包括但不限于大宗商品、金融衍生工具等。以及通过其他具有专业投资能力和资质的受金融监督管理部门监管的机构发行的资产管理产品所投资的前述资产。</w:t>
      </w:r>
    </w:p>
    <w:p w14:paraId="1965572A">
      <w:pPr>
        <w:autoSpaceDE w:val="0"/>
        <w:autoSpaceDN w:val="0"/>
        <w:adjustRightInd w:val="0"/>
        <w:ind w:firstLine="422" w:firstLineChars="200"/>
        <w:jc w:val="left"/>
        <w:rPr>
          <w:rFonts w:cs="黑体"/>
        </w:rPr>
      </w:pPr>
      <w:r>
        <w:rPr>
          <w:rFonts w:hint="eastAsia" w:ascii="黑体" w:hAnsi="黑体" w:cs="黑体"/>
          <w:b/>
          <w:kern w:val="0"/>
          <w:szCs w:val="21"/>
          <w:u w:val="single"/>
        </w:rPr>
        <w:t>本产品可投资不存在活跃交易市场，并且需要采用估值技术确定公允价值的资产；投资上述资产的比例可达到理财产品净资产</w:t>
      </w:r>
      <w:r>
        <w:rPr>
          <w:rFonts w:ascii="黑体" w:hAnsi="黑体" w:cs="黑体"/>
          <w:b/>
          <w:kern w:val="0"/>
          <w:szCs w:val="21"/>
          <w:u w:val="single"/>
        </w:rPr>
        <w:t>50%</w:t>
      </w:r>
      <w:r>
        <w:rPr>
          <w:rFonts w:hint="eastAsia" w:ascii="黑体" w:hAnsi="黑体" w:cs="黑体"/>
          <w:b/>
          <w:kern w:val="0"/>
          <w:szCs w:val="21"/>
          <w:u w:val="single"/>
        </w:rPr>
        <w:t>以上。</w:t>
      </w:r>
    </w:p>
    <w:p w14:paraId="4371CA4F">
      <w:pPr>
        <w:pStyle w:val="15"/>
      </w:pPr>
      <w:r>
        <w:rPr>
          <w:rFonts w:hint="eastAsia"/>
        </w:rPr>
        <w:t>具体投向如下：</w:t>
      </w:r>
    </w:p>
    <w:tbl>
      <w:tblPr>
        <w:tblStyle w:val="6"/>
        <w:tblW w:w="43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9"/>
        <w:gridCol w:w="2128"/>
      </w:tblGrid>
      <w:tr w14:paraId="7ABF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0" w:type="pct"/>
          </w:tcPr>
          <w:p w14:paraId="3EBC72BB">
            <w:pPr>
              <w:pStyle w:val="15"/>
            </w:pPr>
            <w:r>
              <w:rPr>
                <w:rFonts w:hint="eastAsia"/>
              </w:rPr>
              <w:t>投资资产</w:t>
            </w:r>
          </w:p>
        </w:tc>
        <w:tc>
          <w:tcPr>
            <w:tcW w:w="1450" w:type="pct"/>
          </w:tcPr>
          <w:p w14:paraId="279FCED2">
            <w:pPr>
              <w:pStyle w:val="15"/>
            </w:pPr>
            <w:r>
              <w:rPr>
                <w:rFonts w:hint="eastAsia"/>
              </w:rPr>
              <w:t>计划配置比例</w:t>
            </w:r>
          </w:p>
        </w:tc>
      </w:tr>
      <w:tr w14:paraId="1FB5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0" w:type="pct"/>
            <w:vAlign w:val="bottom"/>
          </w:tcPr>
          <w:p w14:paraId="7713DEAD">
            <w:pPr>
              <w:pStyle w:val="15"/>
            </w:pPr>
            <w:r>
              <w:rPr>
                <w:rFonts w:hint="eastAsia"/>
              </w:rPr>
              <w:t>固定收益类资产</w:t>
            </w:r>
          </w:p>
        </w:tc>
        <w:tc>
          <w:tcPr>
            <w:tcW w:w="1450" w:type="pct"/>
          </w:tcPr>
          <w:p w14:paraId="6EA783FF">
            <w:pPr>
              <w:pStyle w:val="15"/>
            </w:pPr>
            <w:r>
              <w:t>80%-100%</w:t>
            </w:r>
          </w:p>
        </w:tc>
      </w:tr>
      <w:tr w14:paraId="1944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550" w:type="pct"/>
            <w:vAlign w:val="center"/>
          </w:tcPr>
          <w:p w14:paraId="121BCE11">
            <w:pPr>
              <w:pStyle w:val="15"/>
            </w:pPr>
            <w:r>
              <w:rPr>
                <w:rFonts w:hint="eastAsia"/>
              </w:rPr>
              <w:t>权益类资产</w:t>
            </w:r>
          </w:p>
        </w:tc>
        <w:tc>
          <w:tcPr>
            <w:tcW w:w="1450" w:type="pct"/>
            <w:vAlign w:val="center"/>
          </w:tcPr>
          <w:p w14:paraId="11A3BE0A">
            <w:pPr>
              <w:pStyle w:val="15"/>
            </w:pPr>
            <w:r>
              <w:t>0%-20%</w:t>
            </w:r>
          </w:p>
        </w:tc>
      </w:tr>
      <w:tr w14:paraId="5635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550" w:type="pct"/>
            <w:vAlign w:val="center"/>
          </w:tcPr>
          <w:p w14:paraId="71BC5D48">
            <w:pPr>
              <w:pStyle w:val="15"/>
            </w:pPr>
            <w:r>
              <w:rPr>
                <w:rFonts w:hint="eastAsia"/>
              </w:rPr>
              <w:t>商品及衍生品类资产</w:t>
            </w:r>
          </w:p>
        </w:tc>
        <w:tc>
          <w:tcPr>
            <w:tcW w:w="1450" w:type="pct"/>
            <w:vAlign w:val="center"/>
          </w:tcPr>
          <w:p w14:paraId="2391942B">
            <w:pPr>
              <w:pStyle w:val="15"/>
            </w:pPr>
            <w:r>
              <w:t>0%</w:t>
            </w:r>
            <w:r>
              <w:rPr>
                <w:rFonts w:hint="eastAsia"/>
              </w:rPr>
              <w:t>-20%</w:t>
            </w:r>
          </w:p>
        </w:tc>
      </w:tr>
    </w:tbl>
    <w:p w14:paraId="2B283F16">
      <w:pPr>
        <w:autoSpaceDE w:val="0"/>
        <w:autoSpaceDN w:val="0"/>
        <w:adjustRightInd w:val="0"/>
        <w:ind w:firstLine="420" w:firstLineChars="200"/>
        <w:jc w:val="left"/>
        <w:rPr>
          <w:rFonts w:ascii="黑体" w:hAnsi="黑体" w:cs="黑体"/>
          <w:kern w:val="0"/>
          <w:szCs w:val="21"/>
        </w:rPr>
      </w:pPr>
      <w:r>
        <w:rPr>
          <w:rFonts w:ascii="黑体" w:hAnsi="黑体" w:cs="黑体"/>
          <w:kern w:val="0"/>
          <w:szCs w:val="21"/>
        </w:rPr>
        <w:t>1、</w:t>
      </w:r>
      <w:r>
        <w:rPr>
          <w:rFonts w:hint="eastAsia" w:ascii="黑体" w:hAnsi="黑体"/>
          <w:szCs w:val="21"/>
        </w:rPr>
        <w:t>本产品可以通过质押式和买断式债券正回购进行融资。</w:t>
      </w:r>
      <w:r>
        <w:rPr>
          <w:rFonts w:hint="eastAsia" w:ascii="黑体" w:hAnsi="黑体" w:cs="黑体"/>
          <w:kern w:val="0"/>
          <w:szCs w:val="21"/>
        </w:rPr>
        <w:t>本产品</w:t>
      </w:r>
      <w:r>
        <w:rPr>
          <w:rFonts w:ascii="黑体" w:hAnsi="黑体" w:cs="黑体"/>
          <w:kern w:val="0"/>
          <w:szCs w:val="21"/>
        </w:rPr>
        <w:t>杠杆率</w:t>
      </w:r>
      <w:r>
        <w:rPr>
          <w:rFonts w:hint="eastAsia" w:ascii="黑体" w:hAnsi="黑体" w:cs="黑体"/>
          <w:kern w:val="0"/>
          <w:szCs w:val="21"/>
        </w:rPr>
        <w:t>不超过200</w:t>
      </w:r>
      <w:r>
        <w:rPr>
          <w:rFonts w:ascii="黑体" w:hAnsi="黑体" w:cs="黑体"/>
          <w:kern w:val="0"/>
          <w:szCs w:val="21"/>
        </w:rPr>
        <w:t>%。</w:t>
      </w:r>
    </w:p>
    <w:p w14:paraId="3BE78665">
      <w:pPr>
        <w:autoSpaceDE w:val="0"/>
        <w:autoSpaceDN w:val="0"/>
        <w:adjustRightInd w:val="0"/>
        <w:ind w:firstLine="420" w:firstLineChars="200"/>
        <w:jc w:val="left"/>
        <w:rPr>
          <w:rFonts w:ascii="黑体" w:hAnsi="黑体" w:cs="黑体"/>
          <w:kern w:val="0"/>
          <w:szCs w:val="21"/>
        </w:rPr>
      </w:pPr>
      <w:r>
        <w:rPr>
          <w:rFonts w:ascii="黑体" w:hAnsi="黑体" w:cs="黑体"/>
          <w:kern w:val="0"/>
          <w:szCs w:val="21"/>
        </w:rPr>
        <w:t>2、本产品存续期间的投资比例将按上述计划配置比例合理浮动，非因主观因素导致突破上述比例限制的，产品管理人将在流动性受限资产可出售、可转让或者恢复交易之日起的15个交易日内将投资比例调整至符合要求</w:t>
      </w:r>
      <w:r>
        <w:rPr>
          <w:rFonts w:hint="eastAsia" w:ascii="黑体" w:hAnsi="黑体" w:cs="黑体"/>
          <w:kern w:val="0"/>
          <w:szCs w:val="21"/>
        </w:rPr>
        <w:t>，国务院银行业监督管理机构规定的特殊情形除外。</w:t>
      </w:r>
    </w:p>
    <w:p w14:paraId="46279A58">
      <w:pPr>
        <w:tabs>
          <w:tab w:val="left" w:pos="426"/>
        </w:tabs>
        <w:autoSpaceDE w:val="0"/>
        <w:autoSpaceDN w:val="0"/>
        <w:adjustRightInd w:val="0"/>
        <w:ind w:firstLine="420" w:firstLineChars="200"/>
        <w:jc w:val="left"/>
        <w:rPr>
          <w:rFonts w:ascii="黑体" w:hAnsi="黑体" w:cs="宋体"/>
          <w:kern w:val="0"/>
          <w:szCs w:val="21"/>
        </w:rPr>
      </w:pPr>
      <w:r>
        <w:rPr>
          <w:rFonts w:ascii="黑体" w:hAnsi="黑体" w:cs="宋体"/>
          <w:kern w:val="0"/>
          <w:szCs w:val="21"/>
        </w:rPr>
        <w:t>3、在本产品存续期内，前述投资比例暂时超出浮动区间且可能对产品单位净值产生重大影响的，产品管理人将根据理财产品销售文件约定向投资者进行信息披露。</w:t>
      </w:r>
    </w:p>
    <w:p w14:paraId="4B94B109">
      <w:pPr>
        <w:autoSpaceDE w:val="0"/>
        <w:autoSpaceDN w:val="0"/>
        <w:adjustRightInd w:val="0"/>
        <w:ind w:firstLine="422" w:firstLineChars="200"/>
        <w:jc w:val="left"/>
        <w:rPr>
          <w:rFonts w:ascii="黑体" w:hAnsi="黑体" w:cs="黑体"/>
          <w:b/>
          <w:kern w:val="0"/>
          <w:szCs w:val="21"/>
        </w:rPr>
      </w:pPr>
      <w:r>
        <w:rPr>
          <w:rFonts w:ascii="黑体" w:hAnsi="黑体" w:cs="黑体"/>
          <w:b/>
          <w:kern w:val="0"/>
          <w:szCs w:val="21"/>
        </w:rPr>
        <w:t>4、产品管理人有权对投资范围、投资品种或投资比例进行调整，若发生调整情况，将提前至少3个工作日进行相关信息披露。上述情况下产品管理人将可能开放赎回，具体以信息披露公告为准。投资者不同意公告内容的，可按公告约定全部赎回本产品。若投资者在公告执行后继续持有本产品的，视同接受公告内容。进行上述调整时，除高风险类型的理财产品超出比例范围投资较低风险资产外，产品管理人将事先取得投资者书面同意。</w:t>
      </w:r>
    </w:p>
    <w:p w14:paraId="627D5C60">
      <w:pPr>
        <w:autoSpaceDE w:val="0"/>
        <w:autoSpaceDN w:val="0"/>
        <w:adjustRightInd w:val="0"/>
        <w:jc w:val="left"/>
        <w:rPr>
          <w:rFonts w:ascii="黑体" w:hAnsi="黑体" w:cs="黑体"/>
          <w:kern w:val="0"/>
          <w:szCs w:val="21"/>
        </w:rPr>
      </w:pPr>
      <w:r>
        <w:rPr>
          <w:rFonts w:hint="eastAsia" w:ascii="黑体" w:hAnsi="黑体" w:cs="黑体"/>
          <w:kern w:val="0"/>
          <w:szCs w:val="21"/>
        </w:rPr>
        <w:t>（二）拟投资市场和资产的风险评估</w:t>
      </w:r>
    </w:p>
    <w:p w14:paraId="43751028">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1、产品拟投资资产类型以本说明书第三（一）条载明为准。</w:t>
      </w:r>
    </w:p>
    <w:p w14:paraId="141EF5E7">
      <w:pPr>
        <w:autoSpaceDE w:val="0"/>
        <w:autoSpaceDN w:val="0"/>
        <w:adjustRightInd w:val="0"/>
        <w:ind w:firstLine="422" w:firstLineChars="200"/>
        <w:jc w:val="left"/>
        <w:rPr>
          <w:rFonts w:ascii="黑体" w:hAnsi="黑体" w:cs="黑体"/>
          <w:b/>
          <w:kern w:val="0"/>
          <w:szCs w:val="21"/>
        </w:rPr>
      </w:pPr>
      <w:r>
        <w:rPr>
          <w:rFonts w:hint="eastAsia" w:ascii="黑体" w:hAnsi="黑体" w:cs="黑体"/>
          <w:b/>
          <w:kern w:val="0"/>
          <w:szCs w:val="21"/>
        </w:rPr>
        <w:t>投资于上述市场和资产，可能面临包括但不限于如下风险：</w:t>
      </w:r>
    </w:p>
    <w:p w14:paraId="342AEC9C">
      <w:pPr>
        <w:ind w:left="63" w:leftChars="30" w:firstLine="422" w:firstLineChars="200"/>
        <w:rPr>
          <w:rFonts w:ascii="黑体" w:hAnsi="黑体" w:cs="黑体"/>
          <w:b/>
          <w:kern w:val="0"/>
          <w:szCs w:val="21"/>
        </w:rPr>
      </w:pPr>
      <w:r>
        <w:rPr>
          <w:rFonts w:hint="eastAsia" w:ascii="黑体" w:hAnsi="黑体" w:cs="黑体"/>
          <w:b/>
          <w:kern w:val="0"/>
          <w:szCs w:val="21"/>
        </w:rPr>
        <w:t>政策风险：理财产品在运作过程中，由于国家宏观政策以及市场相关法律法规、监管规定发生变化，导致产品的发行、投资、兑付等流程受到影响，进而影响产品的投资运作和收益的风险。</w:t>
      </w:r>
    </w:p>
    <w:p w14:paraId="03C4DF89">
      <w:pPr>
        <w:ind w:left="63" w:leftChars="30" w:firstLine="422" w:firstLineChars="200"/>
        <w:rPr>
          <w:rFonts w:ascii="宋体" w:hAnsi="宋体"/>
          <w:sz w:val="24"/>
        </w:rPr>
      </w:pPr>
      <w:r>
        <w:rPr>
          <w:rFonts w:hint="eastAsia" w:ascii="黑体" w:hAnsi="黑体" w:cs="宋体"/>
          <w:b/>
          <w:kern w:val="0"/>
          <w:szCs w:val="21"/>
        </w:rPr>
        <w:t>市场风险：</w:t>
      </w:r>
      <w:r>
        <w:rPr>
          <w:rFonts w:hint="eastAsia" w:ascii="黑体" w:hAnsi="黑体" w:cs="黑体"/>
          <w:b/>
          <w:kern w:val="0"/>
          <w:szCs w:val="21"/>
        </w:rPr>
        <w:t>理财产品在运作过程中，由于市场变化造成产品所投资产价格波动、从而影响理财产品收益的风险。市场风险包括但不限于投资债券面临的利率变化及债券价格波动带来的风险，投资股票面临的股票价格波动带来的风险，投资商品及金融衍生品面临的商品及衍生品价格波动带来的风险等。</w:t>
      </w:r>
    </w:p>
    <w:p w14:paraId="147B2DB4">
      <w:pPr>
        <w:ind w:left="63" w:leftChars="30" w:firstLine="422" w:firstLineChars="200"/>
        <w:rPr>
          <w:rFonts w:ascii="宋体" w:hAnsi="宋体"/>
          <w:sz w:val="24"/>
        </w:rPr>
      </w:pPr>
      <w:r>
        <w:rPr>
          <w:rFonts w:hint="eastAsia" w:ascii="黑体" w:hAnsi="黑体" w:cs="宋体"/>
          <w:b/>
          <w:kern w:val="0"/>
          <w:szCs w:val="21"/>
        </w:rPr>
        <w:t>信用风险：理财产品所投资产的相关债务人或关联责任人（包括但不限于担保人）等信用状况恶化、不能如期履约的风险。</w:t>
      </w:r>
    </w:p>
    <w:p w14:paraId="3D579FD7">
      <w:pPr>
        <w:autoSpaceDE w:val="0"/>
        <w:autoSpaceDN w:val="0"/>
        <w:adjustRightInd w:val="0"/>
        <w:ind w:firstLine="422" w:firstLineChars="200"/>
        <w:jc w:val="left"/>
        <w:rPr>
          <w:rFonts w:ascii="黑体" w:hAnsi="黑体" w:cs="宋体"/>
          <w:b/>
          <w:kern w:val="0"/>
          <w:szCs w:val="21"/>
        </w:rPr>
      </w:pPr>
      <w:r>
        <w:rPr>
          <w:rFonts w:hint="eastAsia" w:ascii="黑体" w:hAnsi="黑体" w:cs="宋体"/>
          <w:b/>
          <w:kern w:val="0"/>
          <w:szCs w:val="21"/>
        </w:rPr>
        <w:t>流动性风险：在特定市场环境下，理财产品所投资的上述部分市场或资产可能出现流动性较差的情况，导致理财产品无法通过变现资产等途径以合理成本及时获得充足资金，用于满足投资者赎回需求、履行其他支付义务的风险。对于有</w:t>
      </w:r>
      <w:r>
        <w:rPr>
          <w:rFonts w:ascii="黑体" w:hAnsi="黑体" w:cs="宋体"/>
          <w:b/>
          <w:kern w:val="0"/>
          <w:szCs w:val="21"/>
        </w:rPr>
        <w:t>明确投资期限的理财产品，</w:t>
      </w:r>
      <w:r>
        <w:rPr>
          <w:rFonts w:hint="eastAsia" w:ascii="黑体" w:hAnsi="黑体" w:cs="宋体"/>
          <w:b/>
          <w:kern w:val="0"/>
          <w:szCs w:val="21"/>
        </w:rPr>
        <w:t>在存续期内如果您产生流动性需求，可能面临理财产品投资期限与资金需求日不匹配的流动性风险。此外</w:t>
      </w:r>
      <w:r>
        <w:rPr>
          <w:rFonts w:ascii="黑体" w:hAnsi="黑体" w:cs="宋体"/>
          <w:b/>
          <w:kern w:val="0"/>
          <w:szCs w:val="21"/>
        </w:rPr>
        <w:t>，</w:t>
      </w:r>
      <w:r>
        <w:rPr>
          <w:rFonts w:hint="eastAsia" w:ascii="黑体" w:hAnsi="黑体" w:cs="宋体"/>
          <w:b/>
          <w:kern w:val="0"/>
          <w:szCs w:val="21"/>
        </w:rPr>
        <w:t>针对</w:t>
      </w:r>
      <w:r>
        <w:rPr>
          <w:rFonts w:ascii="黑体" w:hAnsi="黑体" w:cs="宋体"/>
          <w:b/>
          <w:kern w:val="0"/>
          <w:szCs w:val="21"/>
        </w:rPr>
        <w:t>开放式产品，</w:t>
      </w:r>
      <w:r>
        <w:rPr>
          <w:rFonts w:hint="eastAsia" w:ascii="黑体" w:hAnsi="黑体" w:cs="宋体"/>
          <w:b/>
          <w:kern w:val="0"/>
          <w:szCs w:val="21"/>
        </w:rPr>
        <w:t>投资者只能在开放期的交易时间内进行申购、赎回，开放期内若发生巨额赎回，投资者将面临不能及时赎回理财产品的流动性风险。</w:t>
      </w:r>
    </w:p>
    <w:p w14:paraId="09214E59">
      <w:pPr>
        <w:autoSpaceDE w:val="0"/>
        <w:autoSpaceDN w:val="0"/>
        <w:adjustRightInd w:val="0"/>
        <w:ind w:firstLine="422" w:firstLineChars="200"/>
        <w:jc w:val="left"/>
        <w:rPr>
          <w:rFonts w:ascii="黑体" w:hAnsi="黑体" w:cs="宋体"/>
          <w:b/>
          <w:kern w:val="0"/>
          <w:szCs w:val="21"/>
        </w:rPr>
      </w:pPr>
      <w:r>
        <w:rPr>
          <w:rFonts w:hint="eastAsia" w:ascii="黑体" w:hAnsi="黑体" w:cs="宋体"/>
          <w:b/>
          <w:kern w:val="0"/>
          <w:szCs w:val="21"/>
        </w:rPr>
        <w:t>提前终止风险：在本产品存续期内，如遇包括但不限于国家金融政策发生重大调整、金融市场发生重大波动、</w:t>
      </w:r>
      <w:r>
        <w:rPr>
          <w:rFonts w:ascii="黑体" w:hAnsi="黑体" w:cs="黑体"/>
          <w:b/>
          <w:kern w:val="0"/>
          <w:szCs w:val="21"/>
        </w:rPr>
        <w:t>不可抗力</w:t>
      </w:r>
      <w:r>
        <w:rPr>
          <w:rFonts w:hint="eastAsia" w:ascii="黑体" w:hAnsi="黑体" w:cs="黑体"/>
          <w:b/>
          <w:kern w:val="0"/>
          <w:szCs w:val="21"/>
        </w:rPr>
        <w:t>、产品存续规模低于产品最低成立规模</w:t>
      </w:r>
      <w:r>
        <w:rPr>
          <w:rFonts w:hint="eastAsia" w:ascii="黑体" w:hAnsi="黑体" w:cs="宋体"/>
          <w:b/>
          <w:kern w:val="0"/>
          <w:szCs w:val="21"/>
        </w:rPr>
        <w:t>或产品管理人认为影响产品运作需要提前终止产品的其他情况，产品管理人有权提前终止产品，并至少于提前终止日前3个工作日进行公告，相关兑付</w:t>
      </w:r>
      <w:r>
        <w:rPr>
          <w:rFonts w:ascii="黑体" w:hAnsi="黑体" w:cs="宋体"/>
          <w:b/>
          <w:kern w:val="0"/>
          <w:szCs w:val="21"/>
        </w:rPr>
        <w:t>安排规则</w:t>
      </w:r>
      <w:r>
        <w:rPr>
          <w:rFonts w:hint="eastAsia" w:ascii="黑体" w:hAnsi="黑体" w:cs="宋体"/>
          <w:b/>
          <w:kern w:val="0"/>
          <w:szCs w:val="21"/>
        </w:rPr>
        <w:t>将在</w:t>
      </w:r>
      <w:r>
        <w:rPr>
          <w:rFonts w:ascii="黑体" w:hAnsi="黑体" w:cs="宋体"/>
          <w:b/>
          <w:kern w:val="0"/>
          <w:szCs w:val="21"/>
        </w:rPr>
        <w:t>公告</w:t>
      </w:r>
      <w:r>
        <w:rPr>
          <w:rFonts w:hint="eastAsia" w:ascii="黑体" w:hAnsi="黑体" w:cs="宋体"/>
          <w:b/>
          <w:kern w:val="0"/>
          <w:szCs w:val="21"/>
        </w:rPr>
        <w:t>中</w:t>
      </w:r>
      <w:r>
        <w:rPr>
          <w:rFonts w:ascii="黑体" w:hAnsi="黑体" w:cs="宋体"/>
          <w:b/>
          <w:kern w:val="0"/>
          <w:szCs w:val="21"/>
        </w:rPr>
        <w:t>披露。</w:t>
      </w:r>
      <w:r>
        <w:rPr>
          <w:rFonts w:hint="eastAsia" w:ascii="黑体" w:hAnsi="黑体" w:cs="宋体"/>
          <w:b/>
          <w:kern w:val="0"/>
          <w:szCs w:val="21"/>
        </w:rPr>
        <w:t>（具体信息及相关规则见七、理财产品到期与终止。）</w:t>
      </w:r>
    </w:p>
    <w:p w14:paraId="7DB4626B">
      <w:pPr>
        <w:autoSpaceDE w:val="0"/>
        <w:autoSpaceDN w:val="0"/>
        <w:adjustRightInd w:val="0"/>
        <w:ind w:firstLine="422" w:firstLineChars="200"/>
        <w:jc w:val="left"/>
        <w:rPr>
          <w:rFonts w:ascii="黑体" w:hAnsi="黑体" w:cs="黑体"/>
          <w:kern w:val="0"/>
          <w:szCs w:val="21"/>
        </w:rPr>
      </w:pPr>
      <w:r>
        <w:rPr>
          <w:rFonts w:hint="eastAsia" w:ascii="黑体" w:hAnsi="黑体" w:cs="黑体"/>
          <w:b/>
          <w:kern w:val="0"/>
          <w:szCs w:val="21"/>
        </w:rPr>
        <w:t>以上风险仅为列举性质，详见产品风险揭示书。</w:t>
      </w:r>
    </w:p>
    <w:p w14:paraId="143EE91A">
      <w:pPr>
        <w:pStyle w:val="15"/>
      </w:pPr>
      <w:r>
        <w:t>2、综合考虑本产品的投资组合、同类产品过往业绩和风险水平（包括但不限于拟投资市场和资产的风险评估等）等因素，本产品评级为 PR2风险（本评级为公司内部评级，仅供参考，该产品通过代理销售机构渠道销售的，理财产品评级应当以代理销售机构最终披露的评级结果为准）。</w:t>
      </w:r>
    </w:p>
    <w:p w14:paraId="1AFF7C74">
      <w:pPr>
        <w:autoSpaceDE w:val="0"/>
        <w:autoSpaceDN w:val="0"/>
        <w:adjustRightInd w:val="0"/>
        <w:jc w:val="left"/>
        <w:rPr>
          <w:rFonts w:ascii="黑体" w:hAnsi="黑体" w:cs="黑体"/>
          <w:kern w:val="0"/>
          <w:szCs w:val="21"/>
        </w:rPr>
      </w:pPr>
    </w:p>
    <w:p w14:paraId="770C81A5">
      <w:pPr>
        <w:autoSpaceDE w:val="0"/>
        <w:autoSpaceDN w:val="0"/>
        <w:adjustRightInd w:val="0"/>
        <w:jc w:val="left"/>
        <w:rPr>
          <w:rFonts w:ascii="黑体" w:hAnsi="黑体" w:cs="黑体"/>
          <w:b/>
          <w:kern w:val="0"/>
          <w:szCs w:val="21"/>
        </w:rPr>
      </w:pPr>
      <w:r>
        <w:rPr>
          <w:rFonts w:hint="eastAsia" w:ascii="黑体" w:hAnsi="黑体" w:cs="黑体"/>
          <w:b/>
          <w:kern w:val="0"/>
          <w:szCs w:val="21"/>
        </w:rPr>
        <w:t>四、产品交易相关规则</w:t>
      </w:r>
    </w:p>
    <w:p w14:paraId="287B4A6F">
      <w:pPr>
        <w:autoSpaceDE w:val="0"/>
        <w:autoSpaceDN w:val="0"/>
        <w:adjustRightInd w:val="0"/>
        <w:jc w:val="left"/>
        <w:rPr>
          <w:rFonts w:ascii="黑体" w:hAnsi="黑体" w:cs="宋体"/>
          <w:kern w:val="0"/>
          <w:szCs w:val="21"/>
        </w:rPr>
      </w:pPr>
      <w:r>
        <w:rPr>
          <w:rFonts w:hint="eastAsia" w:ascii="黑体" w:hAnsi="黑体" w:cs="宋体"/>
          <w:kern w:val="0"/>
          <w:szCs w:val="21"/>
        </w:rPr>
        <w:t>（一）认购相关规则</w:t>
      </w:r>
    </w:p>
    <w:p w14:paraId="74982C99">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1、产品募集期内，投资者可以对本产品进行认购、追加、撤单，销售机构有权在投资者指定账户中对相应资金进行冻结或通过相关支付渠道</w:t>
      </w:r>
      <w:r>
        <w:rPr>
          <w:rFonts w:ascii="黑体" w:hAnsi="黑体" w:cs="黑体"/>
          <w:kern w:val="0"/>
          <w:szCs w:val="21"/>
        </w:rPr>
        <w:t>(如有)划转，具体以销售机构实际  处理为准，产品管理人将在产品成立日对募集期的认购及追加申请进行确认和划款。募集期内管理人不向投资者认购款项计付利息，销售机构是否计付利息以销售机构为准。</w:t>
      </w:r>
    </w:p>
    <w:p w14:paraId="2A92457D">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产品募集期单位净值为1元，募集期认购价格采用募集期单位净值。</w:t>
      </w:r>
    </w:p>
    <w:p w14:paraId="50FD8098">
      <w:pPr>
        <w:autoSpaceDE w:val="0"/>
        <w:autoSpaceDN w:val="0"/>
        <w:adjustRightInd w:val="0"/>
        <w:ind w:firstLine="420" w:firstLineChars="200"/>
        <w:jc w:val="left"/>
        <w:rPr>
          <w:rFonts w:ascii="黑体" w:hAnsi="黑体" w:cs="黑体"/>
          <w:kern w:val="0"/>
          <w:szCs w:val="21"/>
        </w:rPr>
      </w:pPr>
      <w:r>
        <w:rPr>
          <w:rFonts w:ascii="黑体" w:hAnsi="黑体" w:cs="黑体"/>
          <w:kern w:val="0"/>
          <w:szCs w:val="21"/>
        </w:rPr>
        <w:t>2</w:t>
      </w:r>
      <w:r>
        <w:rPr>
          <w:rFonts w:hint="eastAsia" w:ascii="黑体" w:hAnsi="黑体" w:cs="黑体"/>
          <w:kern w:val="0"/>
          <w:szCs w:val="21"/>
        </w:rPr>
        <w:t>、产品采用金额认购规则</w:t>
      </w:r>
      <w:r>
        <w:rPr>
          <w:rFonts w:ascii="黑体" w:hAnsi="黑体" w:cs="黑体"/>
          <w:kern w:val="0"/>
          <w:szCs w:val="21"/>
        </w:rPr>
        <w:t>，</w:t>
      </w:r>
      <w:r>
        <w:rPr>
          <w:rFonts w:hint="eastAsia" w:ascii="黑体" w:hAnsi="黑体" w:cs="黑体"/>
          <w:kern w:val="0"/>
          <w:szCs w:val="21"/>
        </w:rPr>
        <w:t>即认购以金额确定投资者</w:t>
      </w:r>
      <w:r>
        <w:rPr>
          <w:rFonts w:ascii="黑体" w:hAnsi="黑体" w:cs="黑体"/>
          <w:kern w:val="0"/>
          <w:szCs w:val="21"/>
        </w:rPr>
        <w:t>对应的</w:t>
      </w:r>
      <w:r>
        <w:rPr>
          <w:rFonts w:hint="eastAsia" w:ascii="黑体" w:hAnsi="黑体" w:cs="黑体"/>
          <w:kern w:val="0"/>
          <w:szCs w:val="21"/>
        </w:rPr>
        <w:t>产品份额</w:t>
      </w:r>
      <w:r>
        <w:rPr>
          <w:rFonts w:ascii="黑体" w:hAnsi="黑体" w:cs="黑体"/>
          <w:kern w:val="0"/>
          <w:szCs w:val="21"/>
        </w:rPr>
        <w:t>。</w:t>
      </w:r>
    </w:p>
    <w:p w14:paraId="33A36F3D">
      <w:pPr>
        <w:autoSpaceDE w:val="0"/>
        <w:autoSpaceDN w:val="0"/>
        <w:adjustRightInd w:val="0"/>
        <w:ind w:firstLine="420" w:firstLineChars="200"/>
        <w:jc w:val="left"/>
        <w:rPr>
          <w:rFonts w:ascii="黑体" w:hAnsi="黑体" w:cs="黑体"/>
          <w:kern w:val="0"/>
          <w:szCs w:val="21"/>
        </w:rPr>
      </w:pPr>
      <w:r>
        <w:rPr>
          <w:rFonts w:ascii="黑体" w:hAnsi="黑体" w:cs="黑体"/>
          <w:kern w:val="0"/>
          <w:szCs w:val="21"/>
        </w:rPr>
        <w:t>3</w:t>
      </w:r>
      <w:r>
        <w:rPr>
          <w:rFonts w:hint="eastAsia" w:ascii="黑体" w:hAnsi="黑体" w:cs="黑体"/>
          <w:kern w:val="0"/>
          <w:szCs w:val="21"/>
        </w:rPr>
        <w:t>、产品募集期内，若出现以下情况，产品管理人有权拒绝或暂停接受投资者的认购或追加认购申请：</w:t>
      </w:r>
    </w:p>
    <w:p w14:paraId="0E48742C">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（1）因不可抗力导致产品管理机构无法接受投资者认购或追加认购申请；</w:t>
      </w:r>
    </w:p>
    <w:p w14:paraId="58E30DC7">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（2）法律、法规或相关监管认定的其他情形</w:t>
      </w:r>
      <w:r>
        <w:rPr>
          <w:rFonts w:hint="eastAsia" w:ascii="黑体" w:hAnsi="黑体" w:cs="宋体"/>
          <w:kern w:val="0"/>
          <w:szCs w:val="21"/>
        </w:rPr>
        <w:t>，以及本说明书约定的其他情形</w:t>
      </w:r>
      <w:r>
        <w:rPr>
          <w:rFonts w:hint="eastAsia" w:ascii="黑体" w:hAnsi="黑体" w:cs="黑体"/>
          <w:kern w:val="0"/>
          <w:szCs w:val="21"/>
        </w:rPr>
        <w:t>。</w:t>
      </w:r>
    </w:p>
    <w:p w14:paraId="31272573">
      <w:pPr>
        <w:pStyle w:val="15"/>
        <w:ind w:firstLine="420" w:firstLineChars="200"/>
        <w:rPr>
          <w:rFonts w:cs="黑体"/>
        </w:rPr>
      </w:pPr>
      <w:r>
        <w:t>4、其他：无</w:t>
      </w:r>
    </w:p>
    <w:p w14:paraId="0109A118">
      <w:pPr>
        <w:autoSpaceDE w:val="0"/>
        <w:autoSpaceDN w:val="0"/>
        <w:adjustRightInd w:val="0"/>
        <w:jc w:val="left"/>
        <w:rPr>
          <w:rFonts w:ascii="黑体" w:hAnsi="黑体" w:cs="黑体"/>
          <w:kern w:val="0"/>
          <w:szCs w:val="21"/>
        </w:rPr>
      </w:pPr>
      <w:r>
        <w:rPr>
          <w:rFonts w:hint="eastAsia" w:ascii="黑体" w:hAnsi="黑体" w:cs="黑体"/>
          <w:kern w:val="0"/>
          <w:szCs w:val="21"/>
        </w:rPr>
        <w:t>（二</w:t>
      </w:r>
      <w:r>
        <w:rPr>
          <w:rFonts w:ascii="黑体" w:hAnsi="黑体" w:cs="黑体"/>
          <w:kern w:val="0"/>
          <w:szCs w:val="21"/>
        </w:rPr>
        <w:t>）</w:t>
      </w:r>
      <w:r>
        <w:rPr>
          <w:rFonts w:hint="eastAsia" w:ascii="黑体" w:hAnsi="黑体" w:cs="黑体"/>
          <w:kern w:val="0"/>
          <w:szCs w:val="21"/>
        </w:rPr>
        <w:t>申购</w:t>
      </w:r>
      <w:r>
        <w:rPr>
          <w:rFonts w:ascii="黑体" w:hAnsi="黑体" w:cs="黑体"/>
          <w:kern w:val="0"/>
          <w:szCs w:val="21"/>
        </w:rPr>
        <w:t>和赎回规则</w:t>
      </w:r>
    </w:p>
    <w:p w14:paraId="12294B30">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本产品</w:t>
      </w:r>
      <w:r>
        <w:rPr>
          <w:rFonts w:ascii="黑体" w:hAnsi="黑体" w:cs="黑体"/>
          <w:kern w:val="0"/>
          <w:szCs w:val="21"/>
        </w:rPr>
        <w:t>封闭</w:t>
      </w:r>
      <w:r>
        <w:rPr>
          <w:rFonts w:hint="eastAsia" w:ascii="黑体" w:hAnsi="黑体" w:cs="黑体"/>
          <w:kern w:val="0"/>
          <w:szCs w:val="21"/>
        </w:rPr>
        <w:t>运行，</w:t>
      </w:r>
      <w:r>
        <w:rPr>
          <w:rFonts w:ascii="黑体" w:hAnsi="黑体" w:cs="黑体"/>
          <w:kern w:val="0"/>
          <w:szCs w:val="21"/>
        </w:rPr>
        <w:t>存续</w:t>
      </w:r>
      <w:r>
        <w:rPr>
          <w:rFonts w:hint="eastAsia" w:ascii="黑体" w:hAnsi="黑体" w:cs="黑体"/>
          <w:kern w:val="0"/>
          <w:szCs w:val="21"/>
        </w:rPr>
        <w:t>期不开放申购、赎回。</w:t>
      </w:r>
    </w:p>
    <w:p w14:paraId="5A2EFB99">
      <w:pPr>
        <w:autoSpaceDE w:val="0"/>
        <w:autoSpaceDN w:val="0"/>
        <w:adjustRightInd w:val="0"/>
        <w:jc w:val="left"/>
        <w:rPr>
          <w:rFonts w:ascii="黑体" w:hAnsi="黑体" w:cs="宋体"/>
          <w:kern w:val="0"/>
          <w:szCs w:val="21"/>
        </w:rPr>
      </w:pPr>
      <w:r>
        <w:rPr>
          <w:rFonts w:hint="eastAsia" w:ascii="黑体" w:hAnsi="黑体" w:cs="宋体"/>
          <w:kern w:val="0"/>
          <w:szCs w:val="21"/>
        </w:rPr>
        <w:t>（三）产品净值公布方式</w:t>
      </w:r>
    </w:p>
    <w:p w14:paraId="64813BAA">
      <w:pPr>
        <w:pStyle w:val="15"/>
        <w:ind w:firstLine="420" w:firstLineChars="200"/>
      </w:pPr>
      <w:r>
        <w:t>产品净值的计算按照四舍五入原则，保留至小数点后</w:t>
      </w:r>
      <w:r>
        <w:rPr>
          <w:rFonts w:hint="eastAsia"/>
        </w:rPr>
        <w:t>6</w:t>
      </w:r>
      <w:r>
        <w:t>位。单位净值为扣除固定管理费、</w:t>
      </w:r>
      <w:r>
        <w:rPr>
          <w:rFonts w:hint="eastAsia"/>
        </w:rPr>
        <w:t>浮动管理费、托管费、</w:t>
      </w:r>
      <w:r>
        <w:t>产品运作和清算中产生的其他费用、产品运营中发生的增值税及附加税费等费用</w:t>
      </w:r>
      <w:r>
        <w:rPr>
          <w:rFonts w:hint="eastAsia"/>
        </w:rPr>
        <w:t>后</w:t>
      </w:r>
      <w:r>
        <w:t>的单位产品净值。</w:t>
      </w:r>
    </w:p>
    <w:p w14:paraId="6E516ABE">
      <w:pPr>
        <w:pStyle w:val="15"/>
        <w:ind w:firstLine="422" w:firstLineChars="200"/>
      </w:pPr>
      <w:r>
        <w:rPr>
          <w:b/>
          <w:bCs/>
        </w:rPr>
        <w:t>本产品成立后</w:t>
      </w:r>
      <w:r>
        <w:rPr>
          <w:rFonts w:hint="eastAsia"/>
          <w:b/>
          <w:bCs/>
        </w:rPr>
        <w:t>每周</w:t>
      </w:r>
      <w:r>
        <w:rPr>
          <w:rFonts w:hint="eastAsia"/>
          <w:b/>
          <w:bCs/>
          <w:lang w:val="en-US" w:eastAsia="zh-CN"/>
        </w:rPr>
        <w:t>四</w:t>
      </w:r>
      <w:r>
        <w:rPr>
          <w:b/>
          <w:bCs/>
        </w:rPr>
        <w:t>（如遇非工作日则顺延至</w:t>
      </w:r>
      <w:r>
        <w:rPr>
          <w:rFonts w:hint="eastAsia"/>
          <w:b/>
          <w:bCs/>
        </w:rPr>
        <w:t>下一</w:t>
      </w:r>
      <w:r>
        <w:rPr>
          <w:b/>
          <w:bCs/>
        </w:rPr>
        <w:t>个工作日）披露</w:t>
      </w:r>
      <w:r>
        <w:rPr>
          <w:rFonts w:hint="eastAsia"/>
          <w:b/>
          <w:bCs/>
        </w:rPr>
        <w:t>产品</w:t>
      </w:r>
      <w:r>
        <w:rPr>
          <w:b/>
          <w:bCs/>
        </w:rPr>
        <w:t>净值信息，</w:t>
      </w:r>
      <w:bookmarkStart w:id="0" w:name="_Hlk33022866"/>
      <w:r>
        <w:t>如有其它特殊情况的，以产品管理人公告为准。</w:t>
      </w:r>
    </w:p>
    <w:bookmarkEnd w:id="0"/>
    <w:p w14:paraId="76D71A95">
      <w:pPr>
        <w:autoSpaceDE w:val="0"/>
        <w:autoSpaceDN w:val="0"/>
        <w:adjustRightInd w:val="0"/>
        <w:jc w:val="left"/>
        <w:rPr>
          <w:rFonts w:ascii="黑体" w:hAnsi="黑体" w:cs="宋体"/>
          <w:kern w:val="0"/>
          <w:szCs w:val="21"/>
        </w:rPr>
      </w:pPr>
      <w:r>
        <w:rPr>
          <w:rFonts w:hint="eastAsia" w:ascii="黑体" w:hAnsi="黑体" w:cs="宋体"/>
          <w:kern w:val="0"/>
          <w:szCs w:val="21"/>
        </w:rPr>
        <w:t>（四）投资者持有份额及金额计算规则</w:t>
      </w:r>
    </w:p>
    <w:p w14:paraId="4C2D0A6B">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1、计算规则（不考虑手续费）</w:t>
      </w:r>
    </w:p>
    <w:p w14:paraId="6F008AF0">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认购确认份额 = 认购金额 / 认购价格</w:t>
      </w:r>
    </w:p>
    <w:p w14:paraId="5501CF7F">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到期</w:t>
      </w:r>
      <w:r>
        <w:rPr>
          <w:rFonts w:ascii="黑体" w:hAnsi="黑体" w:cs="黑体"/>
          <w:kern w:val="0"/>
          <w:szCs w:val="21"/>
        </w:rPr>
        <w:t>兑付</w:t>
      </w:r>
      <w:r>
        <w:rPr>
          <w:rFonts w:hint="eastAsia" w:ascii="黑体" w:hAnsi="黑体" w:cs="黑体"/>
          <w:kern w:val="0"/>
          <w:szCs w:val="21"/>
        </w:rPr>
        <w:t>金额 = 到期份额 * 到期价格</w:t>
      </w:r>
    </w:p>
    <w:p w14:paraId="34E33AF9">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计算得出的金额采取四舍五入后精确到小数点后2位或采取截位规则，计算得出的份额采取截位规则取小数点后2位。具体以产品管理人实际确认为准。</w:t>
      </w:r>
    </w:p>
    <w:p w14:paraId="06142387">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2、计算示例</w:t>
      </w:r>
    </w:p>
    <w:p w14:paraId="32059D67">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情景1：假设投资者于募集期内认购本产品，投资本金为100,000.00 元人民币，购买价格为1元/份，则投资者认购确认份额为：</w:t>
      </w:r>
    </w:p>
    <w:p w14:paraId="134873EE">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认购确认份额=100,000.00÷1=100,000.00（份）</w:t>
      </w:r>
    </w:p>
    <w:p w14:paraId="16FEE871">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情景2：假设理财产品到期时，产品单位净值为1.12元/份，投资者持有份额为100,000.00份，若赎回确认金额采取四舍五入后精确到小数点后2位则理财产品到期后兑付投资者的到期兑付金额为：</w:t>
      </w:r>
    </w:p>
    <w:p w14:paraId="73074BD6">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到期兑付金额=100,000.00份×1.12 =112,000.00（元）</w:t>
      </w:r>
    </w:p>
    <w:p w14:paraId="69D0370D">
      <w:pPr>
        <w:autoSpaceDE w:val="0"/>
        <w:autoSpaceDN w:val="0"/>
        <w:adjustRightInd w:val="0"/>
        <w:ind w:firstLine="422" w:firstLineChars="200"/>
        <w:jc w:val="left"/>
        <w:rPr>
          <w:rFonts w:ascii="黑体" w:hAnsi="黑体" w:cs="黑体"/>
          <w:b/>
          <w:kern w:val="0"/>
          <w:szCs w:val="21"/>
        </w:rPr>
      </w:pPr>
      <w:r>
        <w:rPr>
          <w:rFonts w:hint="eastAsia" w:ascii="黑体" w:hAnsi="黑体" w:cs="黑体"/>
          <w:b/>
          <w:kern w:val="0"/>
          <w:szCs w:val="21"/>
        </w:rPr>
        <w:t>测算收益不等于实际收益，投资须谨慎。</w:t>
      </w:r>
    </w:p>
    <w:p w14:paraId="7581CEB0">
      <w:pPr>
        <w:autoSpaceDE w:val="0"/>
        <w:autoSpaceDN w:val="0"/>
        <w:adjustRightInd w:val="0"/>
        <w:jc w:val="left"/>
        <w:rPr>
          <w:rFonts w:ascii="黑体" w:hAnsi="黑体" w:cs="黑体"/>
          <w:kern w:val="0"/>
          <w:szCs w:val="21"/>
        </w:rPr>
      </w:pPr>
      <w:r>
        <w:rPr>
          <w:rFonts w:hint="eastAsia" w:ascii="黑体" w:hAnsi="黑体" w:cs="黑体"/>
          <w:kern w:val="0"/>
          <w:szCs w:val="21"/>
        </w:rPr>
        <w:t>（五</w:t>
      </w:r>
      <w:r>
        <w:rPr>
          <w:rFonts w:ascii="黑体" w:hAnsi="黑体" w:cs="黑体"/>
          <w:kern w:val="0"/>
          <w:szCs w:val="21"/>
        </w:rPr>
        <w:t>）分红规则</w:t>
      </w:r>
    </w:p>
    <w:p w14:paraId="34C19585">
      <w:pPr>
        <w:pStyle w:val="15"/>
        <w:ind w:firstLine="210" w:firstLineChars="100"/>
      </w:pPr>
      <w:r>
        <w:t>1、本产品存续期间不分红。</w:t>
      </w:r>
    </w:p>
    <w:p w14:paraId="2A5E809A">
      <w:pPr>
        <w:pStyle w:val="15"/>
        <w:ind w:firstLine="210" w:firstLineChars="100"/>
      </w:pPr>
      <w:bookmarkStart w:id="1" w:name="_Hlk33197191"/>
      <w:r>
        <w:t>2、产品管理人有权根据产品实际运作情况，对本产品的分红规则进行调整，如有相应调整，公司将于调整</w:t>
      </w:r>
      <w:r>
        <w:rPr>
          <w:rFonts w:hint="eastAsia"/>
        </w:rPr>
        <w:t>前</w:t>
      </w:r>
      <w:r>
        <w:t>3个工作日进行信息披露。</w:t>
      </w:r>
    </w:p>
    <w:bookmarkEnd w:id="1"/>
    <w:p w14:paraId="246B3715">
      <w:pPr>
        <w:autoSpaceDE w:val="0"/>
        <w:autoSpaceDN w:val="0"/>
        <w:adjustRightInd w:val="0"/>
        <w:ind w:firstLine="420" w:firstLineChars="200"/>
        <w:jc w:val="left"/>
        <w:rPr>
          <w:rFonts w:ascii="黑体" w:hAnsi="黑体" w:cs="宋体"/>
          <w:kern w:val="0"/>
          <w:szCs w:val="21"/>
        </w:rPr>
      </w:pPr>
    </w:p>
    <w:p w14:paraId="2654A858">
      <w:pPr>
        <w:autoSpaceDE w:val="0"/>
        <w:autoSpaceDN w:val="0"/>
        <w:adjustRightInd w:val="0"/>
        <w:jc w:val="left"/>
        <w:rPr>
          <w:rFonts w:ascii="黑体" w:hAnsi="黑体" w:cs="黑体"/>
          <w:b/>
          <w:kern w:val="0"/>
          <w:szCs w:val="21"/>
        </w:rPr>
      </w:pPr>
      <w:r>
        <w:rPr>
          <w:rFonts w:hint="eastAsia" w:ascii="黑体" w:hAnsi="黑体" w:cs="黑体"/>
          <w:b/>
          <w:kern w:val="0"/>
          <w:szCs w:val="21"/>
        </w:rPr>
        <w:t>五、产品资产估值</w:t>
      </w:r>
    </w:p>
    <w:p w14:paraId="1C99F29E">
      <w:pPr>
        <w:autoSpaceDE w:val="0"/>
        <w:autoSpaceDN w:val="0"/>
        <w:adjustRightInd w:val="0"/>
        <w:jc w:val="left"/>
        <w:rPr>
          <w:rFonts w:ascii="黑体" w:hAnsi="黑体" w:cs="宋体"/>
          <w:kern w:val="0"/>
          <w:szCs w:val="21"/>
        </w:rPr>
      </w:pPr>
      <w:r>
        <w:rPr>
          <w:rFonts w:hint="eastAsia" w:ascii="黑体" w:hAnsi="黑体" w:cs="宋体"/>
          <w:kern w:val="0"/>
          <w:szCs w:val="21"/>
        </w:rPr>
        <w:t>（一）估值日</w:t>
      </w:r>
    </w:p>
    <w:p w14:paraId="5319AB44">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本产品估值日为国家法定工作日。</w:t>
      </w:r>
    </w:p>
    <w:p w14:paraId="689D6D0D">
      <w:pPr>
        <w:autoSpaceDE w:val="0"/>
        <w:autoSpaceDN w:val="0"/>
        <w:adjustRightInd w:val="0"/>
        <w:jc w:val="left"/>
        <w:rPr>
          <w:rFonts w:ascii="黑体" w:hAnsi="黑体" w:cs="宋体"/>
          <w:kern w:val="0"/>
          <w:szCs w:val="21"/>
        </w:rPr>
      </w:pPr>
      <w:r>
        <w:rPr>
          <w:rFonts w:hint="eastAsia" w:ascii="黑体" w:hAnsi="黑体" w:cs="宋体"/>
          <w:kern w:val="0"/>
          <w:szCs w:val="21"/>
        </w:rPr>
        <w:t>（二</w:t>
      </w:r>
      <w:r>
        <w:rPr>
          <w:rFonts w:ascii="黑体" w:hAnsi="黑体" w:cs="宋体"/>
          <w:kern w:val="0"/>
          <w:szCs w:val="21"/>
        </w:rPr>
        <w:t>）</w:t>
      </w:r>
      <w:r>
        <w:rPr>
          <w:rFonts w:hint="eastAsia" w:ascii="黑体" w:hAnsi="黑体" w:cs="宋体"/>
          <w:kern w:val="0"/>
          <w:szCs w:val="21"/>
        </w:rPr>
        <w:t>估值</w:t>
      </w:r>
      <w:r>
        <w:rPr>
          <w:rFonts w:ascii="黑体" w:hAnsi="黑体" w:cs="宋体"/>
          <w:kern w:val="0"/>
          <w:szCs w:val="21"/>
        </w:rPr>
        <w:t>原则</w:t>
      </w:r>
    </w:p>
    <w:p w14:paraId="30C980AB">
      <w:pPr>
        <w:autoSpaceDE w:val="0"/>
        <w:autoSpaceDN w:val="0"/>
        <w:adjustRightInd w:val="0"/>
        <w:ind w:firstLine="420" w:firstLineChars="200"/>
        <w:rPr>
          <w:rFonts w:ascii="黑体" w:hAnsi="黑体" w:cs="黑体"/>
          <w:kern w:val="0"/>
          <w:szCs w:val="21"/>
        </w:rPr>
      </w:pPr>
      <w:r>
        <w:rPr>
          <w:rFonts w:hint="eastAsia" w:ascii="黑体" w:hAnsi="黑体" w:cs="黑体"/>
          <w:kern w:val="0"/>
          <w:szCs w:val="21"/>
        </w:rPr>
        <w:t>公司理财产品投资金融资产在</w:t>
      </w:r>
      <w:r>
        <w:rPr>
          <w:rFonts w:ascii="黑体" w:hAnsi="黑体" w:cs="黑体"/>
          <w:kern w:val="0"/>
          <w:szCs w:val="21"/>
        </w:rPr>
        <w:t>符合企业会计准则的前提下</w:t>
      </w:r>
      <w:r>
        <w:rPr>
          <w:rFonts w:hint="eastAsia" w:ascii="黑体" w:hAnsi="黑体" w:cs="黑体"/>
          <w:kern w:val="0"/>
          <w:szCs w:val="21"/>
        </w:rPr>
        <w:t>坚持公允价值计量原则，鼓励使用市值计量。符合以下条件之一的，可按照企业会计准则以摊余成本进行计量：</w:t>
      </w:r>
    </w:p>
    <w:p w14:paraId="7DF3E2C1">
      <w:pPr>
        <w:autoSpaceDE w:val="0"/>
        <w:autoSpaceDN w:val="0"/>
        <w:adjustRightInd w:val="0"/>
        <w:ind w:firstLine="420" w:firstLineChars="200"/>
        <w:rPr>
          <w:rFonts w:ascii="黑体" w:hAnsi="黑体" w:cs="黑体"/>
          <w:kern w:val="0"/>
          <w:szCs w:val="21"/>
        </w:rPr>
      </w:pPr>
      <w:r>
        <w:rPr>
          <w:rFonts w:hint="eastAsia" w:ascii="黑体" w:hAnsi="黑体" w:cs="黑体"/>
          <w:kern w:val="0"/>
          <w:szCs w:val="21"/>
        </w:rPr>
        <w:t>（1）资产管理产品为封闭式产品，且所投金融资产以收取合同现金流量为目的并且持有到期。</w:t>
      </w:r>
    </w:p>
    <w:p w14:paraId="4F0D61A9">
      <w:pPr>
        <w:autoSpaceDE w:val="0"/>
        <w:autoSpaceDN w:val="0"/>
        <w:adjustRightInd w:val="0"/>
        <w:ind w:firstLine="420" w:firstLineChars="200"/>
        <w:rPr>
          <w:rFonts w:ascii="黑体" w:hAnsi="黑体" w:cs="黑体"/>
          <w:kern w:val="0"/>
          <w:szCs w:val="21"/>
        </w:rPr>
      </w:pPr>
      <w:r>
        <w:rPr>
          <w:rFonts w:hint="eastAsia" w:ascii="黑体" w:hAnsi="黑体" w:cs="黑体"/>
          <w:kern w:val="0"/>
          <w:szCs w:val="21"/>
        </w:rPr>
        <w:t>（2）资产管理产品为封闭式产品，且所投金融资产暂不具备活跃交易市场，或者在活跃市场中没有报价、也不能采用估值技术可靠计量公允价值。</w:t>
      </w:r>
    </w:p>
    <w:p w14:paraId="27DA8EEF">
      <w:pPr>
        <w:autoSpaceDE w:val="0"/>
        <w:autoSpaceDN w:val="0"/>
        <w:adjustRightInd w:val="0"/>
        <w:ind w:firstLine="420" w:firstLineChars="200"/>
        <w:rPr>
          <w:rFonts w:ascii="黑体" w:hAnsi="黑体" w:cs="黑体"/>
          <w:kern w:val="0"/>
          <w:szCs w:val="21"/>
        </w:rPr>
      </w:pPr>
      <w:r>
        <w:rPr>
          <w:rFonts w:hint="eastAsia" w:ascii="黑体" w:hAnsi="黑体" w:cs="黑体"/>
          <w:kern w:val="0"/>
          <w:szCs w:val="21"/>
        </w:rPr>
        <w:t>现金管理类产品按照《企业会计准则》和《关于规范金融机构资产管理业务的指导意见》关于金融资产估值核算的相关规定，确认和计量现金管理类产品的净值。可在确保现金管理类产品资产净值能够公允地反映投资组合价值的前提下，采用摊余成本法对持有的投资组合进行会计核算。由于按摊余成本法计量可能会出现被计量对象的其他可参考公允价值指标和摊余成本之间的偏离，为消除或减少因理财产品资产净值的背离导致理财产品份额持有人权益的稀释或其他不公平的结果，在实际操作中，产品管理人和托管机构将采用估值技术，对理财产品持有的估值对象进行重新评估，即“影子定价”。当影子定价确定的现金管理类产品资产净值与摊余成本法计算的资产净值正偏离度绝对值达到0.5%时，产品管理人将暂停接受认购并在5个交易日内将正偏离度绝对值调整到0.5%以内。当负偏离度绝对值达到0.25%时，产品管理人将在5个交易日内将负偏离度绝对值调整到0.25%以内。当负偏离度绝对值达到0.5%时，产品管理人将采取相应措施，将负偏离度绝对值控制在0.5%以内。当负偏离度绝对值连续两个交易日超过0.5%时，产品管理人将采用公允价值估值方法对持有投资组合的账面价值进行调整，或者采取暂停接受所有赎回申请并终止产品合同进行财产清算等措施。若采取上述处理方式，产品管理人将于发生后三个工作日内进行信息披露。</w:t>
      </w:r>
    </w:p>
    <w:p w14:paraId="1562993C">
      <w:pPr>
        <w:autoSpaceDE w:val="0"/>
        <w:autoSpaceDN w:val="0"/>
        <w:adjustRightInd w:val="0"/>
        <w:ind w:firstLine="420" w:firstLineChars="200"/>
        <w:rPr>
          <w:rFonts w:ascii="黑体" w:hAnsi="黑体" w:cs="黑体"/>
          <w:kern w:val="0"/>
          <w:szCs w:val="21"/>
        </w:rPr>
      </w:pPr>
      <w:r>
        <w:rPr>
          <w:rFonts w:hint="eastAsia" w:ascii="黑体" w:hAnsi="黑体" w:cs="黑体"/>
          <w:kern w:val="0"/>
          <w:szCs w:val="21"/>
        </w:rPr>
        <w:t>如财政部、中国人民银行、国家金融监督管理总局等有关部门对估值原则另有规定的，从其规定。</w:t>
      </w:r>
    </w:p>
    <w:p w14:paraId="61D97E34">
      <w:pPr>
        <w:autoSpaceDE w:val="0"/>
        <w:autoSpaceDN w:val="0"/>
        <w:adjustRightInd w:val="0"/>
        <w:jc w:val="left"/>
        <w:rPr>
          <w:rFonts w:ascii="黑体" w:hAnsi="黑体" w:cs="宋体"/>
          <w:kern w:val="0"/>
          <w:szCs w:val="21"/>
        </w:rPr>
      </w:pPr>
      <w:r>
        <w:rPr>
          <w:rFonts w:hint="eastAsia" w:ascii="黑体" w:hAnsi="黑体" w:cs="宋体"/>
          <w:kern w:val="0"/>
          <w:szCs w:val="21"/>
        </w:rPr>
        <w:t>（三）估值对象</w:t>
      </w:r>
    </w:p>
    <w:p w14:paraId="064E9B6A">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本产品所持有的所有资产。</w:t>
      </w:r>
    </w:p>
    <w:p w14:paraId="1495E416">
      <w:pPr>
        <w:autoSpaceDE w:val="0"/>
        <w:autoSpaceDN w:val="0"/>
        <w:adjustRightInd w:val="0"/>
        <w:jc w:val="left"/>
        <w:rPr>
          <w:rFonts w:ascii="黑体" w:hAnsi="黑体" w:cs="宋体"/>
          <w:kern w:val="0"/>
          <w:szCs w:val="21"/>
        </w:rPr>
      </w:pPr>
      <w:r>
        <w:rPr>
          <w:rFonts w:hint="eastAsia" w:ascii="黑体" w:hAnsi="黑体" w:cs="宋体"/>
          <w:kern w:val="0"/>
          <w:szCs w:val="21"/>
        </w:rPr>
        <w:t>（四）资产估值方法</w:t>
      </w:r>
    </w:p>
    <w:p w14:paraId="47DB04C5">
      <w:pPr>
        <w:numPr>
          <w:ilvl w:val="0"/>
          <w:numId w:val="1"/>
        </w:numPr>
        <w:autoSpaceDE w:val="0"/>
        <w:autoSpaceDN w:val="0"/>
        <w:adjustRightInd w:val="0"/>
        <w:rPr>
          <w:rFonts w:ascii="黑体" w:hAnsi="黑体" w:cs="黑体"/>
          <w:kern w:val="0"/>
          <w:szCs w:val="21"/>
        </w:rPr>
      </w:pPr>
      <w:r>
        <w:rPr>
          <w:rFonts w:hint="eastAsia" w:ascii="黑体" w:hAnsi="黑体" w:cs="黑体"/>
          <w:kern w:val="0"/>
          <w:szCs w:val="21"/>
        </w:rPr>
        <w:t>权益类</w:t>
      </w:r>
      <w:r>
        <w:rPr>
          <w:rFonts w:ascii="黑体" w:hAnsi="黑体" w:cs="黑体"/>
          <w:kern w:val="0"/>
          <w:szCs w:val="21"/>
        </w:rPr>
        <w:t>证券</w:t>
      </w:r>
    </w:p>
    <w:p w14:paraId="0A32BF79">
      <w:pPr>
        <w:autoSpaceDE w:val="0"/>
        <w:autoSpaceDN w:val="0"/>
        <w:adjustRightInd w:val="0"/>
        <w:ind w:firstLine="420" w:firstLineChars="200"/>
        <w:rPr>
          <w:rFonts w:ascii="黑体" w:hAnsi="黑体" w:cs="黑体"/>
          <w:kern w:val="0"/>
          <w:szCs w:val="21"/>
        </w:rPr>
      </w:pPr>
      <w:r>
        <w:rPr>
          <w:rFonts w:hint="eastAsia" w:ascii="黑体" w:hAnsi="黑体" w:cs="黑体"/>
          <w:kern w:val="0"/>
          <w:szCs w:val="21"/>
        </w:rPr>
        <w:t>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参考类似投资品种的现行价格及重大变化因素，调整最近交易日的收盘价确定公允价值。</w:t>
      </w:r>
    </w:p>
    <w:p w14:paraId="1BC8A1FC">
      <w:pPr>
        <w:numPr>
          <w:ilvl w:val="0"/>
          <w:numId w:val="1"/>
        </w:numPr>
        <w:autoSpaceDE w:val="0"/>
        <w:autoSpaceDN w:val="0"/>
        <w:adjustRightInd w:val="0"/>
        <w:rPr>
          <w:rFonts w:ascii="黑体" w:hAnsi="黑体" w:cs="黑体"/>
          <w:kern w:val="0"/>
          <w:szCs w:val="21"/>
        </w:rPr>
      </w:pPr>
      <w:r>
        <w:rPr>
          <w:rFonts w:hint="eastAsia" w:ascii="黑体" w:hAnsi="黑体" w:cs="黑体"/>
          <w:kern w:val="0"/>
          <w:szCs w:val="21"/>
        </w:rPr>
        <w:t>固定收益类证券</w:t>
      </w:r>
    </w:p>
    <w:p w14:paraId="1E375BEE">
      <w:pPr>
        <w:autoSpaceDE w:val="0"/>
        <w:autoSpaceDN w:val="0"/>
        <w:adjustRightInd w:val="0"/>
        <w:ind w:left="420"/>
        <w:rPr>
          <w:rFonts w:ascii="黑体" w:hAnsi="黑体" w:cs="黑体"/>
          <w:kern w:val="0"/>
          <w:szCs w:val="21"/>
        </w:rPr>
      </w:pPr>
      <w:r>
        <w:rPr>
          <w:rFonts w:hint="eastAsia" w:ascii="黑体" w:hAnsi="黑体" w:cs="黑体"/>
          <w:kern w:val="0"/>
          <w:szCs w:val="21"/>
        </w:rPr>
        <w:t>理财产品直接持有的在证券交易所和全国银行间市场交易的债券，以交易为目的的，</w:t>
      </w:r>
    </w:p>
    <w:p w14:paraId="0BC56C00">
      <w:pPr>
        <w:autoSpaceDE w:val="0"/>
        <w:autoSpaceDN w:val="0"/>
        <w:adjustRightInd w:val="0"/>
        <w:rPr>
          <w:rFonts w:ascii="黑体" w:hAnsi="黑体" w:cs="黑体"/>
          <w:kern w:val="0"/>
          <w:szCs w:val="21"/>
        </w:rPr>
      </w:pPr>
      <w:r>
        <w:rPr>
          <w:rFonts w:hint="eastAsia" w:ascii="黑体" w:hAnsi="黑体" w:cs="黑体"/>
          <w:kern w:val="0"/>
          <w:szCs w:val="21"/>
        </w:rPr>
        <w:t>按第三方估值机构（中债、中证等）提供的估值数据，对本组合持有的债券进行估值，具体第三方估值机构由管理人和托管行具体协商确定；以收取合同现金流量为目的并持有到期的，在符合</w:t>
      </w:r>
      <w:r>
        <w:rPr>
          <w:rFonts w:ascii="黑体" w:hAnsi="黑体" w:cs="黑体"/>
          <w:kern w:val="0"/>
          <w:szCs w:val="21"/>
        </w:rPr>
        <w:t>监管</w:t>
      </w:r>
      <w:r>
        <w:rPr>
          <w:rFonts w:hint="eastAsia" w:ascii="黑体" w:hAnsi="黑体" w:cs="黑体"/>
          <w:kern w:val="0"/>
          <w:szCs w:val="21"/>
        </w:rPr>
        <w:t>规定</w:t>
      </w:r>
      <w:r>
        <w:rPr>
          <w:rFonts w:ascii="黑体" w:hAnsi="黑体" w:cs="黑体"/>
          <w:kern w:val="0"/>
          <w:szCs w:val="21"/>
        </w:rPr>
        <w:t>的情况下</w:t>
      </w:r>
      <w:r>
        <w:rPr>
          <w:rFonts w:hint="eastAsia" w:ascii="黑体" w:hAnsi="黑体" w:cs="黑体"/>
          <w:kern w:val="0"/>
          <w:szCs w:val="21"/>
        </w:rPr>
        <w:t>按摊余成本法计量。因经济环境发生重大变化或债券发行主体发生重大事件等，导致债券价格发生重大变化的或导致债券发行主体无法履行应尽的偿债义务的，经管理人合理判断后，参考第三方估值机构提供的估值数据、市场价格及债券发行主体实际状况等，对该债券的价值进行重估，并合理确定随后该债券遵循的估值方法。</w:t>
      </w:r>
      <w:r>
        <w:rPr>
          <w:rFonts w:ascii="黑体" w:hAnsi="黑体" w:cs="黑体"/>
          <w:kern w:val="0"/>
          <w:szCs w:val="21"/>
        </w:rPr>
        <w:t>资产支持证券和资产支持票据原则上按第三方估值机构（中债、中证等）提供的估值</w:t>
      </w:r>
      <w:r>
        <w:rPr>
          <w:rFonts w:hint="eastAsia" w:ascii="黑体" w:hAnsi="黑体" w:cs="黑体"/>
          <w:kern w:val="0"/>
          <w:szCs w:val="21"/>
        </w:rPr>
        <w:t>数据进行估值，具体第三方估值机构由管理人和托管行具体协商确定。但若因其交易不活跃或未来现金流难以确认等客观原因，导致第三方估值机构提供的估值数据无法反映其公允价值的，为保护投资者利益，经管理人和托管行合理判断后，可采用其他估值技术对其进行估值。管理人应持续评估上述估值技术的适当性，并在此情况发生改变时做出适当调整。</w:t>
      </w:r>
    </w:p>
    <w:p w14:paraId="6A9FF9A6">
      <w:pPr>
        <w:autoSpaceDE w:val="0"/>
        <w:autoSpaceDN w:val="0"/>
        <w:adjustRightInd w:val="0"/>
        <w:ind w:firstLine="420" w:firstLineChars="200"/>
        <w:rPr>
          <w:rFonts w:ascii="黑体" w:hAnsi="黑体" w:cs="黑体"/>
          <w:kern w:val="0"/>
          <w:szCs w:val="21"/>
        </w:rPr>
      </w:pPr>
      <w:r>
        <w:rPr>
          <w:rFonts w:ascii="黑体" w:hAnsi="黑体" w:cs="黑体"/>
          <w:kern w:val="0"/>
          <w:szCs w:val="21"/>
        </w:rPr>
        <w:t>3</w:t>
      </w:r>
      <w:r>
        <w:rPr>
          <w:rFonts w:hint="eastAsia" w:ascii="黑体" w:hAnsi="黑体" w:cs="黑体"/>
          <w:kern w:val="0"/>
          <w:szCs w:val="21"/>
        </w:rPr>
        <w:t>、存款类资产</w:t>
      </w:r>
    </w:p>
    <w:p w14:paraId="4B4EC5D9">
      <w:pPr>
        <w:autoSpaceDE w:val="0"/>
        <w:autoSpaceDN w:val="0"/>
        <w:adjustRightInd w:val="0"/>
        <w:ind w:firstLine="420" w:firstLineChars="200"/>
        <w:rPr>
          <w:rFonts w:ascii="黑体" w:hAnsi="黑体" w:cs="黑体"/>
          <w:kern w:val="0"/>
          <w:szCs w:val="21"/>
        </w:rPr>
      </w:pPr>
      <w:r>
        <w:rPr>
          <w:rFonts w:hint="eastAsia" w:ascii="黑体" w:hAnsi="黑体" w:cs="黑体"/>
          <w:kern w:val="0"/>
          <w:szCs w:val="21"/>
        </w:rPr>
        <w:t>包括：活期存款、定期存款、通知存款、存放同业、大额存单等。按照</w:t>
      </w:r>
      <w:r>
        <w:rPr>
          <w:rFonts w:ascii="黑体" w:hAnsi="黑体" w:cs="黑体"/>
          <w:kern w:val="0"/>
          <w:szCs w:val="21"/>
        </w:rPr>
        <w:t>约定利率在持有期内</w:t>
      </w:r>
      <w:r>
        <w:rPr>
          <w:rFonts w:hint="eastAsia" w:ascii="黑体" w:hAnsi="黑体" w:cs="黑体"/>
          <w:kern w:val="0"/>
          <w:szCs w:val="21"/>
        </w:rPr>
        <w:t>逐日计提</w:t>
      </w:r>
      <w:r>
        <w:rPr>
          <w:rFonts w:ascii="黑体" w:hAnsi="黑体" w:cs="黑体"/>
          <w:kern w:val="0"/>
          <w:szCs w:val="21"/>
        </w:rPr>
        <w:t>应收利息，</w:t>
      </w:r>
      <w:r>
        <w:rPr>
          <w:rFonts w:hint="eastAsia" w:ascii="黑体" w:hAnsi="黑体" w:cs="黑体"/>
          <w:kern w:val="0"/>
          <w:szCs w:val="21"/>
        </w:rPr>
        <w:t>在</w:t>
      </w:r>
      <w:r>
        <w:rPr>
          <w:rFonts w:ascii="黑体" w:hAnsi="黑体" w:cs="黑体"/>
          <w:kern w:val="0"/>
          <w:szCs w:val="21"/>
        </w:rPr>
        <w:t>利息到账日以实收利息入账。</w:t>
      </w:r>
    </w:p>
    <w:p w14:paraId="44EE4647">
      <w:pPr>
        <w:autoSpaceDE w:val="0"/>
        <w:autoSpaceDN w:val="0"/>
        <w:adjustRightInd w:val="0"/>
        <w:ind w:firstLine="420" w:firstLineChars="200"/>
        <w:rPr>
          <w:rFonts w:ascii="黑体" w:hAnsi="黑体" w:cs="黑体"/>
          <w:kern w:val="0"/>
          <w:szCs w:val="21"/>
        </w:rPr>
      </w:pPr>
      <w:r>
        <w:rPr>
          <w:rFonts w:ascii="黑体" w:hAnsi="黑体" w:cs="黑体"/>
          <w:kern w:val="0"/>
          <w:szCs w:val="21"/>
        </w:rPr>
        <w:t>4</w:t>
      </w:r>
      <w:r>
        <w:rPr>
          <w:rFonts w:hint="eastAsia" w:ascii="黑体" w:hAnsi="黑体" w:cs="黑体"/>
          <w:kern w:val="0"/>
          <w:szCs w:val="21"/>
        </w:rPr>
        <w:t>、非上市基金</w:t>
      </w:r>
    </w:p>
    <w:p w14:paraId="37DA3CF7">
      <w:pPr>
        <w:autoSpaceDE w:val="0"/>
        <w:autoSpaceDN w:val="0"/>
        <w:adjustRightInd w:val="0"/>
        <w:ind w:firstLine="420" w:firstLineChars="200"/>
        <w:rPr>
          <w:rFonts w:ascii="黑体" w:hAnsi="黑体" w:cs="黑体"/>
          <w:kern w:val="0"/>
          <w:szCs w:val="21"/>
        </w:rPr>
      </w:pPr>
      <w:r>
        <w:rPr>
          <w:rFonts w:hint="eastAsia" w:ascii="黑体" w:hAnsi="黑体" w:cs="黑体"/>
          <w:kern w:val="0"/>
          <w:szCs w:val="21"/>
        </w:rPr>
        <w:t>理财产品投资的境内非货币市场基金，按所投资基金估值日的份额净值估值；境内货币市场基金，按所投资基金前一估值日后至估值日期间（含节假日）的万份收益计提估值日基金收益。</w:t>
      </w:r>
    </w:p>
    <w:p w14:paraId="030700DB">
      <w:pPr>
        <w:autoSpaceDE w:val="0"/>
        <w:autoSpaceDN w:val="0"/>
        <w:adjustRightInd w:val="0"/>
        <w:ind w:firstLine="420" w:firstLineChars="200"/>
        <w:rPr>
          <w:rFonts w:ascii="黑体" w:hAnsi="黑体" w:cs="黑体"/>
          <w:kern w:val="0"/>
          <w:szCs w:val="21"/>
        </w:rPr>
      </w:pPr>
      <w:r>
        <w:rPr>
          <w:rFonts w:ascii="黑体" w:hAnsi="黑体" w:cs="黑体"/>
          <w:kern w:val="0"/>
          <w:szCs w:val="21"/>
        </w:rPr>
        <w:t>5</w:t>
      </w:r>
      <w:r>
        <w:rPr>
          <w:rFonts w:hint="eastAsia" w:ascii="黑体" w:hAnsi="黑体" w:cs="黑体"/>
          <w:kern w:val="0"/>
          <w:szCs w:val="21"/>
        </w:rPr>
        <w:t>、上市证券投资基金</w:t>
      </w:r>
    </w:p>
    <w:p w14:paraId="2B9505CD">
      <w:pPr>
        <w:autoSpaceDE w:val="0"/>
        <w:autoSpaceDN w:val="0"/>
        <w:adjustRightInd w:val="0"/>
        <w:ind w:firstLine="420" w:firstLineChars="200"/>
        <w:rPr>
          <w:rFonts w:ascii="黑体" w:hAnsi="黑体" w:cs="黑体"/>
          <w:kern w:val="0"/>
          <w:szCs w:val="21"/>
        </w:rPr>
      </w:pPr>
      <w:r>
        <w:rPr>
          <w:rFonts w:hint="eastAsia" w:ascii="黑体" w:hAnsi="黑体" w:cs="黑体"/>
          <w:kern w:val="0"/>
          <w:szCs w:val="21"/>
        </w:rPr>
        <w:t>理财产品投资的ETF 基金、境内上市定期开放式基金、封闭式基金，按所投资基金估值日的收盘价估值；境内上市开放式基金（LOF）、境内上市交易型货币市场基金，如所投资基金披露份额净值，则按所投资基金估值日的份额净值估值，估值日未公布净值的，按其最近公布的基金份额净值为基础估值；如所投资基金披露万份收益，则按所投资基金前一估值日后至估值日期间（含节假日）的万份收益计提估值日基金收益。</w:t>
      </w:r>
    </w:p>
    <w:p w14:paraId="7F46A65C">
      <w:pPr>
        <w:autoSpaceDE w:val="0"/>
        <w:autoSpaceDN w:val="0"/>
        <w:adjustRightInd w:val="0"/>
        <w:ind w:firstLine="420" w:firstLineChars="200"/>
        <w:rPr>
          <w:rFonts w:ascii="黑体" w:hAnsi="黑体" w:cs="黑体"/>
          <w:kern w:val="0"/>
          <w:szCs w:val="21"/>
        </w:rPr>
      </w:pPr>
      <w:r>
        <w:rPr>
          <w:rFonts w:ascii="黑体" w:hAnsi="黑体" w:cs="黑体"/>
          <w:kern w:val="0"/>
          <w:szCs w:val="21"/>
        </w:rPr>
        <w:t>6</w:t>
      </w:r>
      <w:r>
        <w:rPr>
          <w:rFonts w:hint="eastAsia" w:ascii="黑体" w:hAnsi="黑体" w:cs="黑体"/>
          <w:kern w:val="0"/>
          <w:szCs w:val="21"/>
        </w:rPr>
        <w:t>、净值型资管产品</w:t>
      </w:r>
    </w:p>
    <w:p w14:paraId="7998D270">
      <w:pPr>
        <w:autoSpaceDE w:val="0"/>
        <w:autoSpaceDN w:val="0"/>
        <w:adjustRightInd w:val="0"/>
        <w:ind w:firstLine="420" w:firstLineChars="200"/>
        <w:rPr>
          <w:rFonts w:ascii="黑体" w:hAnsi="黑体" w:cs="黑体"/>
          <w:kern w:val="0"/>
          <w:szCs w:val="21"/>
        </w:rPr>
      </w:pPr>
      <w:r>
        <w:rPr>
          <w:rFonts w:hint="eastAsia" w:ascii="黑体" w:hAnsi="黑体" w:cs="黑体"/>
          <w:kern w:val="0"/>
          <w:szCs w:val="21"/>
        </w:rPr>
        <w:t>净值型资管产品包括基金资管计划、信托计划等。理财产品投资的资产管理产品，按资产管理人提供的资管产品份额净值估值，净值频率以管理人发布为准。</w:t>
      </w:r>
    </w:p>
    <w:p w14:paraId="303B63BB">
      <w:pPr>
        <w:autoSpaceDE w:val="0"/>
        <w:autoSpaceDN w:val="0"/>
        <w:adjustRightInd w:val="0"/>
        <w:ind w:firstLine="420" w:firstLineChars="200"/>
        <w:rPr>
          <w:rFonts w:ascii="黑体" w:hAnsi="黑体" w:cs="黑体"/>
          <w:kern w:val="0"/>
          <w:szCs w:val="21"/>
        </w:rPr>
      </w:pPr>
      <w:r>
        <w:rPr>
          <w:rFonts w:ascii="黑体" w:hAnsi="黑体" w:cs="黑体"/>
          <w:kern w:val="0"/>
          <w:szCs w:val="21"/>
        </w:rPr>
        <w:t>7</w:t>
      </w:r>
      <w:r>
        <w:rPr>
          <w:rFonts w:hint="eastAsia" w:ascii="黑体" w:hAnsi="黑体" w:cs="黑体"/>
          <w:kern w:val="0"/>
          <w:szCs w:val="21"/>
        </w:rPr>
        <w:t>、衍生品</w:t>
      </w:r>
    </w:p>
    <w:p w14:paraId="7FEEEFAF">
      <w:pPr>
        <w:autoSpaceDE w:val="0"/>
        <w:autoSpaceDN w:val="0"/>
        <w:adjustRightInd w:val="0"/>
        <w:ind w:firstLine="420" w:firstLineChars="200"/>
        <w:rPr>
          <w:rFonts w:ascii="黑体" w:hAnsi="黑体" w:cs="黑体"/>
          <w:kern w:val="0"/>
          <w:szCs w:val="21"/>
        </w:rPr>
      </w:pPr>
      <w:r>
        <w:rPr>
          <w:rFonts w:hint="eastAsia" w:ascii="黑体" w:hAnsi="黑体" w:cs="黑体"/>
          <w:kern w:val="0"/>
          <w:szCs w:val="21"/>
        </w:rPr>
        <w:t>对证券交易所或银行间市场上交易的衍生品，若存在活跃市场的情况下，以活跃市场上未经调整的报价作为计量日的公允价值；若活跃市场报价未能代表计量日公允价值的情况下，对市场报价进行调整以确认计量日的公允价值；对于不存在市场活动或市场活动很少的情况下，当采用第三方估值或估值技术确定其公允价值。</w:t>
      </w:r>
    </w:p>
    <w:p w14:paraId="25F69164">
      <w:pPr>
        <w:autoSpaceDE w:val="0"/>
        <w:autoSpaceDN w:val="0"/>
        <w:adjustRightInd w:val="0"/>
        <w:ind w:firstLine="420" w:firstLineChars="200"/>
        <w:rPr>
          <w:rFonts w:ascii="黑体" w:hAnsi="黑体" w:cs="黑体"/>
          <w:kern w:val="0"/>
          <w:szCs w:val="21"/>
        </w:rPr>
      </w:pPr>
      <w:r>
        <w:rPr>
          <w:rFonts w:hint="eastAsia" w:ascii="黑体" w:hAnsi="黑体" w:cs="黑体"/>
          <w:kern w:val="0"/>
          <w:szCs w:val="21"/>
        </w:rPr>
        <w:t>对非上市交易的衍生品，且第三方估值机构（中证或中债）未提供估值价格的，采用估值技术确定其公允价值。</w:t>
      </w:r>
    </w:p>
    <w:p w14:paraId="5E546DBD">
      <w:pPr>
        <w:autoSpaceDE w:val="0"/>
        <w:autoSpaceDN w:val="0"/>
        <w:adjustRightInd w:val="0"/>
        <w:ind w:firstLine="420" w:firstLineChars="200"/>
        <w:rPr>
          <w:rFonts w:ascii="黑体" w:hAnsi="黑体" w:cs="黑体"/>
          <w:kern w:val="0"/>
          <w:szCs w:val="21"/>
        </w:rPr>
      </w:pPr>
      <w:r>
        <w:rPr>
          <w:rFonts w:ascii="黑体" w:hAnsi="黑体" w:cs="黑体"/>
          <w:kern w:val="0"/>
          <w:szCs w:val="21"/>
        </w:rPr>
        <w:t>8</w:t>
      </w:r>
      <w:r>
        <w:rPr>
          <w:rFonts w:hint="eastAsia" w:ascii="黑体" w:hAnsi="黑体" w:cs="黑体"/>
          <w:kern w:val="0"/>
          <w:szCs w:val="21"/>
        </w:rPr>
        <w:t>、非标准化债权资产</w:t>
      </w:r>
    </w:p>
    <w:p w14:paraId="49E7CEB4">
      <w:pPr>
        <w:autoSpaceDE w:val="0"/>
        <w:autoSpaceDN w:val="0"/>
        <w:adjustRightInd w:val="0"/>
        <w:ind w:firstLine="420" w:firstLineChars="200"/>
        <w:rPr>
          <w:rFonts w:ascii="黑体" w:hAnsi="黑体" w:cs="黑体"/>
          <w:kern w:val="0"/>
          <w:szCs w:val="21"/>
        </w:rPr>
      </w:pPr>
      <w:r>
        <w:rPr>
          <w:rFonts w:hint="eastAsia" w:ascii="黑体" w:hAnsi="黑体" w:cs="黑体"/>
          <w:kern w:val="0"/>
          <w:szCs w:val="21"/>
        </w:rPr>
        <w:t>符合《关于规范金融机构资产管理业务的指导意见》中规定</w:t>
      </w:r>
      <w:r>
        <w:rPr>
          <w:rFonts w:ascii="黑体" w:hAnsi="黑体" w:cs="黑体"/>
          <w:kern w:val="0"/>
          <w:szCs w:val="21"/>
        </w:rPr>
        <w:t>的可以使用摊余成本法</w:t>
      </w:r>
      <w:r>
        <w:rPr>
          <w:rFonts w:hint="eastAsia" w:ascii="黑体" w:hAnsi="黑体" w:cs="黑体"/>
          <w:kern w:val="0"/>
          <w:szCs w:val="21"/>
        </w:rPr>
        <w:t>计量的非标准化债权资产，可使用摊余成本法计量，</w:t>
      </w:r>
      <w:r>
        <w:rPr>
          <w:rFonts w:ascii="黑体" w:hAnsi="黑体" w:cs="黑体"/>
          <w:kern w:val="0"/>
          <w:szCs w:val="21"/>
        </w:rPr>
        <w:t>其余采用公允价值法</w:t>
      </w:r>
      <w:r>
        <w:rPr>
          <w:rFonts w:hint="eastAsia" w:ascii="黑体" w:hAnsi="黑体" w:cs="黑体"/>
          <w:kern w:val="0"/>
          <w:szCs w:val="21"/>
        </w:rPr>
        <w:t>计量</w:t>
      </w:r>
      <w:r>
        <w:rPr>
          <w:rFonts w:ascii="黑体" w:hAnsi="黑体" w:cs="黑体"/>
          <w:kern w:val="0"/>
          <w:szCs w:val="21"/>
        </w:rPr>
        <w:t>。</w:t>
      </w:r>
    </w:p>
    <w:p w14:paraId="46C4E260">
      <w:pPr>
        <w:autoSpaceDE w:val="0"/>
        <w:autoSpaceDN w:val="0"/>
        <w:adjustRightInd w:val="0"/>
        <w:ind w:firstLine="420" w:firstLineChars="200"/>
        <w:rPr>
          <w:rFonts w:ascii="黑体" w:hAnsi="黑体" w:cs="黑体"/>
          <w:kern w:val="0"/>
          <w:szCs w:val="21"/>
        </w:rPr>
      </w:pPr>
      <w:r>
        <w:rPr>
          <w:rFonts w:ascii="黑体" w:hAnsi="黑体" w:cs="黑体"/>
          <w:kern w:val="0"/>
          <w:szCs w:val="21"/>
        </w:rPr>
        <w:t>9</w:t>
      </w:r>
      <w:r>
        <w:rPr>
          <w:rFonts w:hint="eastAsia" w:ascii="黑体" w:hAnsi="黑体" w:cs="黑体"/>
          <w:kern w:val="0"/>
          <w:szCs w:val="21"/>
        </w:rPr>
        <w:t>、其他</w:t>
      </w:r>
    </w:p>
    <w:p w14:paraId="3E170ACC">
      <w:pPr>
        <w:autoSpaceDE w:val="0"/>
        <w:autoSpaceDN w:val="0"/>
        <w:adjustRightInd w:val="0"/>
        <w:ind w:firstLine="420" w:firstLineChars="200"/>
        <w:rPr>
          <w:rFonts w:ascii="黑体" w:hAnsi="黑体" w:cs="黑体"/>
          <w:kern w:val="0"/>
          <w:szCs w:val="21"/>
        </w:rPr>
      </w:pPr>
      <w:r>
        <w:rPr>
          <w:rFonts w:hint="eastAsia" w:ascii="黑体" w:hAnsi="黑体" w:cs="黑体"/>
          <w:kern w:val="0"/>
          <w:szCs w:val="21"/>
        </w:rPr>
        <w:t>各类资产具体估值方法的确认，可参考《企业会计准则》以及</w:t>
      </w:r>
      <w:r>
        <w:rPr>
          <w:rFonts w:ascii="黑体" w:hAnsi="黑体" w:cs="黑体"/>
          <w:kern w:val="0"/>
          <w:szCs w:val="21"/>
        </w:rPr>
        <w:t>相关监管政策</w:t>
      </w:r>
      <w:r>
        <w:rPr>
          <w:rFonts w:hint="eastAsia" w:ascii="黑体" w:hAnsi="黑体" w:cs="黑体"/>
          <w:kern w:val="0"/>
          <w:szCs w:val="21"/>
        </w:rPr>
        <w:t>的规定。</w:t>
      </w:r>
    </w:p>
    <w:p w14:paraId="1266B306">
      <w:pPr>
        <w:autoSpaceDE w:val="0"/>
        <w:autoSpaceDN w:val="0"/>
        <w:adjustRightInd w:val="0"/>
        <w:ind w:firstLine="420" w:firstLineChars="200"/>
        <w:rPr>
          <w:rFonts w:ascii="黑体" w:hAnsi="黑体" w:cs="黑体"/>
          <w:kern w:val="0"/>
          <w:szCs w:val="21"/>
        </w:rPr>
      </w:pPr>
      <w:r>
        <w:rPr>
          <w:rFonts w:ascii="黑体" w:hAnsi="黑体" w:cs="黑体"/>
          <w:kern w:val="0"/>
          <w:szCs w:val="21"/>
        </w:rPr>
        <w:t>10</w:t>
      </w:r>
      <w:r>
        <w:rPr>
          <w:rFonts w:hint="eastAsia" w:ascii="黑体" w:hAnsi="黑体" w:cs="黑体"/>
          <w:kern w:val="0"/>
          <w:szCs w:val="21"/>
        </w:rPr>
        <w:t>、若产品管理人或产品托管人认为按以上规定方法不能真实反映理财产品资产公允价值的，经产品管理人和产品托管人协商一致后，可以变更资产价值的确定方式。国家或相关监管机构有最新规定的，按其规定进行估值。</w:t>
      </w:r>
    </w:p>
    <w:p w14:paraId="6386E657">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1</w:t>
      </w:r>
      <w:r>
        <w:rPr>
          <w:rFonts w:ascii="黑体" w:hAnsi="黑体" w:cs="黑体"/>
          <w:kern w:val="0"/>
          <w:szCs w:val="21"/>
        </w:rPr>
        <w:t>1</w:t>
      </w:r>
      <w:r>
        <w:rPr>
          <w:rFonts w:hint="eastAsia" w:ascii="黑体" w:hAnsi="黑体" w:cs="黑体"/>
          <w:kern w:val="0"/>
          <w:szCs w:val="21"/>
        </w:rPr>
        <w:t>、在任何情况下，产品管理人与托管人所共同认可的估值方式均视为客观、公允的估值方法。该产品估值均以产品公布的估值结果为准。</w:t>
      </w:r>
    </w:p>
    <w:p w14:paraId="1FF74A85">
      <w:pPr>
        <w:autoSpaceDE w:val="0"/>
        <w:autoSpaceDN w:val="0"/>
        <w:adjustRightInd w:val="0"/>
        <w:ind w:firstLine="420"/>
        <w:jc w:val="left"/>
        <w:rPr>
          <w:rFonts w:ascii="黑体" w:hAnsi="黑体" w:cs="ËÎÌå"/>
          <w:kern w:val="0"/>
          <w:szCs w:val="21"/>
        </w:rPr>
      </w:pPr>
      <w:r>
        <w:rPr>
          <w:rFonts w:ascii="黑体" w:hAnsi="黑体" w:cs="ËÎÌå"/>
          <w:kern w:val="0"/>
          <w:szCs w:val="21"/>
        </w:rPr>
        <w:t>12、以上估值方法所涉及的资产类型仅为条款完备性而列举，不代表本产品实际投向该类型资产。本产品的投资范围以说明书“三、产品投资管理 (一) 投资范围”载明为准。</w:t>
      </w:r>
    </w:p>
    <w:p w14:paraId="7B255444">
      <w:pPr>
        <w:autoSpaceDE w:val="0"/>
        <w:autoSpaceDN w:val="0"/>
        <w:adjustRightInd w:val="0"/>
        <w:jc w:val="left"/>
        <w:rPr>
          <w:rFonts w:ascii="黑体" w:hAnsi="黑体" w:cs="ËÎÌå"/>
          <w:kern w:val="0"/>
          <w:szCs w:val="21"/>
        </w:rPr>
      </w:pPr>
      <w:r>
        <w:rPr>
          <w:rFonts w:hint="eastAsia" w:ascii="黑体" w:hAnsi="黑体" w:cs="ËÎÌå"/>
          <w:kern w:val="0"/>
          <w:szCs w:val="21"/>
        </w:rPr>
        <w:t>（五）估值错误的处理</w:t>
      </w:r>
    </w:p>
    <w:p w14:paraId="7EA67CA5">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产品</w:t>
      </w:r>
      <w:r>
        <w:rPr>
          <w:rFonts w:ascii="黑体" w:hAnsi="黑体" w:cs="黑体"/>
          <w:kern w:val="0"/>
          <w:szCs w:val="21"/>
        </w:rPr>
        <w:t>管理人</w:t>
      </w:r>
      <w:r>
        <w:rPr>
          <w:rFonts w:hint="eastAsia" w:ascii="黑体" w:hAnsi="黑体" w:cs="黑体"/>
          <w:kern w:val="0"/>
          <w:szCs w:val="21"/>
        </w:rPr>
        <w:t>和托管机构将采取必要、适当合理的措施确保产品资产估值的准确性、及时性。当产品单位净值出现错误时，产品</w:t>
      </w:r>
      <w:r>
        <w:rPr>
          <w:rFonts w:ascii="黑体" w:hAnsi="黑体" w:cs="黑体"/>
          <w:kern w:val="0"/>
          <w:szCs w:val="21"/>
        </w:rPr>
        <w:t>管理人</w:t>
      </w:r>
      <w:r>
        <w:rPr>
          <w:rFonts w:hint="eastAsia" w:ascii="黑体" w:hAnsi="黑体" w:cs="黑体"/>
          <w:kern w:val="0"/>
          <w:szCs w:val="21"/>
        </w:rPr>
        <w:t>应当立即予以纠正，并采取合理的措施防止损失进一步扩大。由于本产品估值所用的价格来源出现错误，或由于其它不可抗力原因，产品</w:t>
      </w:r>
      <w:r>
        <w:rPr>
          <w:rFonts w:ascii="黑体" w:hAnsi="黑体" w:cs="黑体"/>
          <w:kern w:val="0"/>
          <w:szCs w:val="21"/>
        </w:rPr>
        <w:t>管理人</w:t>
      </w:r>
      <w:r>
        <w:rPr>
          <w:rFonts w:hint="eastAsia" w:ascii="黑体" w:hAnsi="黑体" w:cs="黑体"/>
          <w:kern w:val="0"/>
          <w:szCs w:val="21"/>
        </w:rPr>
        <w:t>和托管机构虽然已经采取必要、适当、合理的措施进行检查，但是未能发现该错误的，由此造成的产品资产估值错误，产品</w:t>
      </w:r>
      <w:r>
        <w:rPr>
          <w:rFonts w:ascii="黑体" w:hAnsi="黑体" w:cs="黑体"/>
          <w:kern w:val="0"/>
          <w:szCs w:val="21"/>
        </w:rPr>
        <w:t>管理人</w:t>
      </w:r>
      <w:r>
        <w:rPr>
          <w:rFonts w:hint="eastAsia" w:ascii="黑体" w:hAnsi="黑体" w:cs="黑体"/>
          <w:kern w:val="0"/>
          <w:szCs w:val="21"/>
        </w:rPr>
        <w:t>和托管机构不承担责任。但产品</w:t>
      </w:r>
      <w:r>
        <w:rPr>
          <w:rFonts w:ascii="黑体" w:hAnsi="黑体" w:cs="黑体"/>
          <w:kern w:val="0"/>
          <w:szCs w:val="21"/>
        </w:rPr>
        <w:t>管理人</w:t>
      </w:r>
      <w:r>
        <w:rPr>
          <w:rFonts w:hint="eastAsia" w:ascii="黑体" w:hAnsi="黑体" w:cs="黑体"/>
          <w:kern w:val="0"/>
          <w:szCs w:val="21"/>
        </w:rPr>
        <w:t>和托管机构应当积极采取必要的措施消除或减轻由此造成的影响。</w:t>
      </w:r>
    </w:p>
    <w:p w14:paraId="2974945E">
      <w:pPr>
        <w:autoSpaceDE w:val="0"/>
        <w:autoSpaceDN w:val="0"/>
        <w:adjustRightInd w:val="0"/>
        <w:jc w:val="left"/>
        <w:rPr>
          <w:rFonts w:ascii="黑体" w:hAnsi="黑体" w:cs="ËÎÌå"/>
          <w:kern w:val="0"/>
          <w:szCs w:val="21"/>
        </w:rPr>
      </w:pPr>
      <w:r>
        <w:rPr>
          <w:rFonts w:hint="eastAsia" w:ascii="黑体" w:hAnsi="黑体" w:cs="ËÎÌå"/>
          <w:kern w:val="0"/>
          <w:szCs w:val="21"/>
        </w:rPr>
        <w:t>（六）暂停估值</w:t>
      </w:r>
    </w:p>
    <w:p w14:paraId="181C506E">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当本产品资产的估值因不可抗力或其它情形致使产品</w:t>
      </w:r>
      <w:r>
        <w:rPr>
          <w:rFonts w:ascii="黑体" w:hAnsi="黑体" w:cs="黑体"/>
          <w:kern w:val="0"/>
          <w:szCs w:val="21"/>
        </w:rPr>
        <w:t>管理人</w:t>
      </w:r>
      <w:r>
        <w:rPr>
          <w:rFonts w:hint="eastAsia" w:ascii="黑体" w:hAnsi="黑体" w:cs="黑体"/>
          <w:kern w:val="0"/>
          <w:szCs w:val="21"/>
        </w:rPr>
        <w:t>、托管机构无法准确评估产品资产价值或存在国家金融监督管理总局认定的导致无法准确估值的其它情形时，产品</w:t>
      </w:r>
      <w:r>
        <w:rPr>
          <w:rFonts w:ascii="黑体" w:hAnsi="黑体" w:cs="黑体"/>
          <w:kern w:val="0"/>
          <w:szCs w:val="21"/>
        </w:rPr>
        <w:t>管理人</w:t>
      </w:r>
      <w:r>
        <w:rPr>
          <w:rFonts w:hint="eastAsia" w:ascii="黑体" w:hAnsi="黑体" w:cs="黑体"/>
          <w:kern w:val="0"/>
          <w:szCs w:val="21"/>
        </w:rPr>
        <w:t>可暂停产品的估值直至另行通知，由此造成的损失，产品</w:t>
      </w:r>
      <w:r>
        <w:rPr>
          <w:rFonts w:ascii="黑体" w:hAnsi="黑体" w:cs="黑体"/>
          <w:kern w:val="0"/>
          <w:szCs w:val="21"/>
        </w:rPr>
        <w:t>管理人</w:t>
      </w:r>
      <w:r>
        <w:rPr>
          <w:rFonts w:hint="eastAsia" w:ascii="黑体" w:hAnsi="黑体" w:cs="黑体"/>
          <w:kern w:val="0"/>
          <w:szCs w:val="21"/>
        </w:rPr>
        <w:t>和托管机构不承担责任。</w:t>
      </w:r>
    </w:p>
    <w:p w14:paraId="6F4EFF11">
      <w:pPr>
        <w:autoSpaceDE w:val="0"/>
        <w:autoSpaceDN w:val="0"/>
        <w:adjustRightInd w:val="0"/>
        <w:ind w:firstLine="420" w:firstLineChars="200"/>
        <w:jc w:val="left"/>
        <w:rPr>
          <w:rFonts w:ascii="黑体" w:hAnsi="黑体"/>
          <w:kern w:val="0"/>
        </w:rPr>
      </w:pPr>
    </w:p>
    <w:p w14:paraId="0B977F94">
      <w:pPr>
        <w:autoSpaceDE w:val="0"/>
        <w:autoSpaceDN w:val="0"/>
        <w:adjustRightInd w:val="0"/>
        <w:jc w:val="left"/>
        <w:rPr>
          <w:rFonts w:ascii="黑体" w:hAnsi="黑体" w:cs="黑体"/>
          <w:b/>
          <w:kern w:val="0"/>
          <w:szCs w:val="21"/>
        </w:rPr>
      </w:pPr>
      <w:r>
        <w:rPr>
          <w:rFonts w:hint="eastAsia" w:ascii="黑体" w:hAnsi="黑体" w:cs="黑体"/>
          <w:b/>
          <w:kern w:val="0"/>
          <w:szCs w:val="21"/>
        </w:rPr>
        <w:t>六、产品费用、收益及税收说明</w:t>
      </w:r>
    </w:p>
    <w:p w14:paraId="1123ECAF">
      <w:pPr>
        <w:autoSpaceDE w:val="0"/>
        <w:autoSpaceDN w:val="0"/>
        <w:adjustRightInd w:val="0"/>
        <w:jc w:val="left"/>
        <w:rPr>
          <w:rFonts w:ascii="黑体" w:hAnsi="黑体" w:cs="宋体"/>
          <w:kern w:val="0"/>
          <w:szCs w:val="21"/>
        </w:rPr>
      </w:pPr>
      <w:r>
        <w:rPr>
          <w:rFonts w:hint="eastAsia" w:ascii="黑体" w:hAnsi="黑体" w:cs="宋体"/>
          <w:kern w:val="0"/>
          <w:szCs w:val="21"/>
        </w:rPr>
        <w:t>（一）产品费用计提方法、计提标准和支付方式</w:t>
      </w:r>
    </w:p>
    <w:p w14:paraId="39D69F93">
      <w:pPr>
        <w:pStyle w:val="14"/>
      </w:pPr>
      <w:r>
        <w:t>本产品收取的费用包括固定管理费、</w:t>
      </w:r>
      <w:r>
        <w:rPr>
          <w:rFonts w:hint="eastAsia"/>
        </w:rPr>
        <w:t>托管费、</w:t>
      </w:r>
      <w:r>
        <w:t>浮动管理费等，具体计提方法、计提标准和支付方式如下：</w:t>
      </w:r>
    </w:p>
    <w:p w14:paraId="30D99311">
      <w:pPr>
        <w:pStyle w:val="14"/>
        <w:numPr>
          <w:ilvl w:val="0"/>
          <w:numId w:val="2"/>
        </w:numPr>
        <w:rPr>
          <w:rFonts w:hint="eastAsia"/>
          <w:b w:val="0"/>
          <w:bCs/>
        </w:rPr>
      </w:pPr>
      <w:r>
        <w:t>销售服务费：</w:t>
      </w:r>
      <w:r>
        <w:rPr>
          <w:rFonts w:hint="eastAsia"/>
          <w:b w:val="0"/>
          <w:bCs/>
        </w:rPr>
        <w:t>本产品销售服务费按/计提。计算方法如下：</w:t>
      </w:r>
    </w:p>
    <w:p w14:paraId="52CDAC4A">
      <w:pPr>
        <w:pStyle w:val="14"/>
        <w:numPr>
          <w:ilvl w:val="0"/>
          <w:numId w:val="0"/>
        </w:numPr>
        <w:ind w:firstLine="422" w:firstLineChars="200"/>
      </w:pPr>
      <w:r>
        <w:t>本产品无销售服务费。</w:t>
      </w:r>
    </w:p>
    <w:p w14:paraId="0862B28C">
      <w:pPr>
        <w:pStyle w:val="14"/>
      </w:pPr>
    </w:p>
    <w:p w14:paraId="3BB78169">
      <w:pPr>
        <w:pStyle w:val="14"/>
      </w:pPr>
    </w:p>
    <w:p w14:paraId="5023AF52">
      <w:pPr>
        <w:autoSpaceDE w:val="0"/>
        <w:autoSpaceDN w:val="0"/>
        <w:adjustRightInd w:val="0"/>
        <w:ind w:firstLine="422" w:firstLineChars="200"/>
        <w:jc w:val="left"/>
        <w:rPr>
          <w:rFonts w:ascii="黑体" w:hAnsi="黑体" w:cs="黑体"/>
          <w:b/>
          <w:kern w:val="0"/>
          <w:szCs w:val="21"/>
        </w:rPr>
      </w:pPr>
    </w:p>
    <w:p w14:paraId="0D68C5E6">
      <w:pPr>
        <w:pStyle w:val="14"/>
      </w:pPr>
      <w:r>
        <w:t>2、固定管理费：本产品固定管理费按当日产品扣除回购融资、产品运作及清算中产生的其他费用、产品运营中发生的增值税及附加税费等费用后的资产净值的</w:t>
      </w:r>
      <w:r>
        <w:rPr>
          <w:rFonts w:hint="eastAsia"/>
        </w:rPr>
        <w:t>0.</w:t>
      </w:r>
      <w:r>
        <w:rPr>
          <w:rFonts w:hint="eastAsia"/>
          <w:lang w:val="en-US" w:eastAsia="zh-CN"/>
        </w:rPr>
        <w:t>40</w:t>
      </w:r>
      <w:r>
        <w:rPr>
          <w:rFonts w:hint="eastAsia"/>
        </w:rPr>
        <w:t>%</w:t>
      </w:r>
      <w:r>
        <w:t>（适用于A</w:t>
      </w:r>
      <w:r>
        <w:rPr>
          <w:rFonts w:hint="eastAsia"/>
        </w:rPr>
        <w:t>份额）</w:t>
      </w:r>
      <w:r>
        <w:t>年费率/0.</w:t>
      </w:r>
      <w:r>
        <w:rPr>
          <w:rFonts w:hint="eastAsia"/>
        </w:rPr>
        <w:t>3</w:t>
      </w:r>
      <w:r>
        <w:rPr>
          <w:rFonts w:hint="eastAsia"/>
          <w:lang w:val="en-US" w:eastAsia="zh-CN"/>
        </w:rPr>
        <w:t>5</w:t>
      </w:r>
      <w:r>
        <w:t>%</w:t>
      </w:r>
      <w:r>
        <w:rPr>
          <w:rFonts w:hint="eastAsia"/>
        </w:rPr>
        <w:t>（适用于</w:t>
      </w:r>
      <w:r>
        <w:t>B份额）</w:t>
      </w:r>
      <w:r>
        <w:rPr>
          <w:rFonts w:hint="eastAsia"/>
          <w:lang w:val="en-US" w:eastAsia="zh-CN"/>
        </w:rPr>
        <w:t>/</w:t>
      </w:r>
      <w:r>
        <w:t>0.</w:t>
      </w:r>
      <w:r>
        <w:rPr>
          <w:rFonts w:hint="eastAsia"/>
          <w:lang w:val="en-US" w:eastAsia="zh-CN"/>
        </w:rPr>
        <w:t>13</w:t>
      </w:r>
      <w:r>
        <w:t>%</w:t>
      </w:r>
      <w:r>
        <w:rPr>
          <w:rFonts w:hint="eastAsia"/>
        </w:rPr>
        <w:t>（适用于</w:t>
      </w:r>
      <w:r>
        <w:rPr>
          <w:rFonts w:hint="eastAsia"/>
          <w:lang w:val="en-US" w:eastAsia="zh-CN"/>
        </w:rPr>
        <w:t>C</w:t>
      </w:r>
      <w:r>
        <w:t>份额）</w:t>
      </w:r>
      <w:r>
        <w:rPr>
          <w:rFonts w:hint="eastAsia"/>
          <w:lang w:val="en-US" w:eastAsia="zh-CN"/>
        </w:rPr>
        <w:t>/</w:t>
      </w:r>
      <w:r>
        <w:t>0.</w:t>
      </w:r>
      <w:r>
        <w:rPr>
          <w:rFonts w:hint="eastAsia"/>
          <w:lang w:val="en-US" w:eastAsia="zh-CN"/>
        </w:rPr>
        <w:t>30</w:t>
      </w:r>
      <w:r>
        <w:t>%</w:t>
      </w:r>
      <w:r>
        <w:rPr>
          <w:rFonts w:hint="eastAsia"/>
        </w:rPr>
        <w:t>（适用于</w:t>
      </w:r>
      <w:r>
        <w:rPr>
          <w:rFonts w:hint="eastAsia"/>
          <w:lang w:val="en-US" w:eastAsia="zh-CN"/>
        </w:rPr>
        <w:t>D</w:t>
      </w:r>
      <w:r>
        <w:t>份额）</w:t>
      </w:r>
      <w:r>
        <w:rPr>
          <w:rFonts w:hint="eastAsia"/>
          <w:lang w:val="en-US" w:eastAsia="zh-CN"/>
        </w:rPr>
        <w:t>/0.20%（适用于E份额）</w:t>
      </w:r>
      <w:r>
        <w:t>年费率计提。计算方法如下：</w:t>
      </w:r>
    </w:p>
    <w:p w14:paraId="2F138554">
      <w:pPr>
        <w:autoSpaceDE w:val="0"/>
        <w:autoSpaceDN w:val="0"/>
        <w:adjustRightInd w:val="0"/>
        <w:ind w:firstLine="422" w:firstLineChars="200"/>
        <w:jc w:val="left"/>
        <w:rPr>
          <w:rFonts w:ascii="黑体" w:hAnsi="黑体" w:cs="黑体"/>
          <w:b/>
          <w:kern w:val="0"/>
          <w:szCs w:val="21"/>
        </w:rPr>
      </w:pPr>
      <w:r>
        <w:rPr>
          <w:rFonts w:hint="eastAsia" w:ascii="黑体" w:hAnsi="黑体" w:cs="黑体"/>
          <w:b/>
          <w:kern w:val="0"/>
          <w:szCs w:val="21"/>
        </w:rPr>
        <w:t>H=Y × 固定管理费率（年化）÷365</w:t>
      </w:r>
    </w:p>
    <w:p w14:paraId="0C5941BC">
      <w:pPr>
        <w:autoSpaceDE w:val="0"/>
        <w:autoSpaceDN w:val="0"/>
        <w:adjustRightInd w:val="0"/>
        <w:ind w:firstLine="422" w:firstLineChars="200"/>
        <w:jc w:val="left"/>
        <w:rPr>
          <w:rFonts w:ascii="黑体" w:hAnsi="黑体" w:cs="黑体"/>
          <w:b/>
          <w:kern w:val="0"/>
          <w:szCs w:val="21"/>
        </w:rPr>
      </w:pPr>
      <w:r>
        <w:rPr>
          <w:rFonts w:hint="eastAsia" w:ascii="黑体" w:hAnsi="黑体" w:cs="黑体"/>
          <w:b/>
          <w:kern w:val="0"/>
          <w:szCs w:val="21"/>
        </w:rPr>
        <w:t>H 为</w:t>
      </w:r>
      <w:bookmarkStart w:id="2" w:name="_Hlk110002403"/>
      <w:r>
        <w:rPr>
          <w:rFonts w:hint="eastAsia" w:ascii="黑体" w:hAnsi="黑体" w:cs="黑体"/>
          <w:b/>
          <w:kern w:val="0"/>
          <w:szCs w:val="21"/>
        </w:rPr>
        <w:t>产品各份额</w:t>
      </w:r>
      <w:bookmarkEnd w:id="2"/>
      <w:r>
        <w:rPr>
          <w:rFonts w:hint="eastAsia" w:ascii="黑体" w:hAnsi="黑体" w:cs="黑体"/>
          <w:b/>
          <w:kern w:val="0"/>
          <w:szCs w:val="21"/>
        </w:rPr>
        <w:t>每一自然日应计提的固定管理费</w:t>
      </w:r>
    </w:p>
    <w:p w14:paraId="178E4F48">
      <w:pPr>
        <w:autoSpaceDE w:val="0"/>
        <w:autoSpaceDN w:val="0"/>
        <w:adjustRightInd w:val="0"/>
        <w:ind w:firstLine="422" w:firstLineChars="200"/>
        <w:jc w:val="left"/>
        <w:rPr>
          <w:rFonts w:ascii="黑体" w:hAnsi="黑体" w:cs="黑体"/>
          <w:b/>
          <w:kern w:val="0"/>
          <w:szCs w:val="21"/>
        </w:rPr>
      </w:pPr>
      <w:r>
        <w:rPr>
          <w:rFonts w:hint="eastAsia" w:ascii="黑体" w:hAnsi="黑体" w:cs="黑体"/>
          <w:b/>
          <w:kern w:val="0"/>
          <w:szCs w:val="21"/>
        </w:rPr>
        <w:t>Y 为估值日产品该份额扣除回购融资、产品运作及清算中产生的其他费用、产品运营中发生的增值税及附加税费等费用后的资产净值</w:t>
      </w:r>
    </w:p>
    <w:p w14:paraId="2B62410E">
      <w:pPr>
        <w:autoSpaceDE w:val="0"/>
        <w:autoSpaceDN w:val="0"/>
        <w:adjustRightInd w:val="0"/>
        <w:ind w:firstLine="422" w:firstLineChars="200"/>
        <w:jc w:val="left"/>
        <w:rPr>
          <w:rFonts w:ascii="黑体" w:hAnsi="黑体" w:cs="黑体"/>
          <w:b/>
          <w:kern w:val="0"/>
          <w:szCs w:val="21"/>
        </w:rPr>
      </w:pPr>
      <w:r>
        <w:rPr>
          <w:rFonts w:hint="eastAsia" w:ascii="黑体" w:hAnsi="黑体" w:cs="黑体"/>
          <w:b/>
          <w:kern w:val="0"/>
          <w:szCs w:val="21"/>
        </w:rPr>
        <w:t>固定管理费每日计提，产品到期（提前终止）后支付，或由管理人向托管人发送指令，托管人复核后从产品资产中支付。</w:t>
      </w:r>
    </w:p>
    <w:p w14:paraId="151E4AD6">
      <w:pPr>
        <w:autoSpaceDE w:val="0"/>
        <w:autoSpaceDN w:val="0"/>
        <w:adjustRightInd w:val="0"/>
        <w:ind w:firstLine="422" w:firstLineChars="200"/>
        <w:jc w:val="left"/>
        <w:rPr>
          <w:rFonts w:ascii="黑体" w:hAnsi="黑体" w:cs="黑体"/>
          <w:b/>
          <w:kern w:val="0"/>
          <w:szCs w:val="21"/>
        </w:rPr>
      </w:pPr>
    </w:p>
    <w:p w14:paraId="15FCD7B3">
      <w:pPr>
        <w:autoSpaceDE w:val="0"/>
        <w:autoSpaceDN w:val="0"/>
        <w:adjustRightInd w:val="0"/>
        <w:ind w:firstLine="422" w:firstLineChars="200"/>
        <w:jc w:val="left"/>
        <w:rPr>
          <w:rFonts w:ascii="黑体" w:hAnsi="黑体" w:cs="黑体"/>
          <w:b/>
          <w:kern w:val="0"/>
          <w:szCs w:val="21"/>
        </w:rPr>
      </w:pPr>
      <w:r>
        <w:rPr>
          <w:rFonts w:ascii="黑体" w:hAnsi="黑体" w:cs="黑体"/>
          <w:b/>
          <w:kern w:val="0"/>
          <w:szCs w:val="21"/>
        </w:rPr>
        <w:t>3、浮动管理费：</w:t>
      </w:r>
      <w:r>
        <w:rPr>
          <w:b/>
          <w:bCs/>
        </w:rPr>
        <w:t>理财产品到期日（提前终止日）扣除浮动管理费前，本产品</w:t>
      </w:r>
      <w:r>
        <w:rPr>
          <w:rFonts w:hint="eastAsia"/>
          <w:b/>
          <w:bCs/>
        </w:rPr>
        <w:t>各份额</w:t>
      </w:r>
      <w:r>
        <w:rPr>
          <w:b/>
          <w:bCs/>
        </w:rPr>
        <w:t>年化收益率低于</w:t>
      </w:r>
      <w:r>
        <w:rPr>
          <w:rFonts w:hint="eastAsia"/>
          <w:b/>
          <w:bCs/>
        </w:rPr>
        <w:t>该份额的</w:t>
      </w:r>
      <w:r>
        <w:rPr>
          <w:b/>
          <w:bCs/>
        </w:rPr>
        <w:t>业绩基准（含），投资管理人不收取</w:t>
      </w:r>
      <w:r>
        <w:rPr>
          <w:rFonts w:hint="eastAsia"/>
          <w:b/>
          <w:bCs/>
        </w:rPr>
        <w:t>对应份额的</w:t>
      </w:r>
      <w:r>
        <w:rPr>
          <w:b/>
          <w:bCs/>
        </w:rPr>
        <w:t>浮动管理费；</w:t>
      </w:r>
      <w:r>
        <w:rPr>
          <w:rFonts w:hint="eastAsia"/>
          <w:b/>
          <w:bCs/>
        </w:rPr>
        <w:t>本产品各份额</w:t>
      </w:r>
      <w:r>
        <w:rPr>
          <w:b/>
          <w:bCs/>
        </w:rPr>
        <w:t>年化收益率超过</w:t>
      </w:r>
      <w:r>
        <w:rPr>
          <w:rFonts w:hint="eastAsia"/>
          <w:b/>
          <w:bCs/>
        </w:rPr>
        <w:t>该份额</w:t>
      </w:r>
      <w:r>
        <w:rPr>
          <w:b/>
          <w:bCs/>
        </w:rPr>
        <w:t>业绩基准的部分，</w:t>
      </w:r>
      <w:r>
        <w:rPr>
          <w:rFonts w:hint="eastAsia" w:ascii="黑体" w:hAnsi="黑体"/>
          <w:b/>
          <w:bCs/>
        </w:rPr>
        <w:t>40</w:t>
      </w:r>
      <w:r>
        <w:rPr>
          <w:rFonts w:ascii="黑体" w:hAnsi="黑体"/>
          <w:b/>
          <w:bCs/>
        </w:rPr>
        <w:t>.00%归客户所有，其余</w:t>
      </w:r>
      <w:r>
        <w:rPr>
          <w:rFonts w:hint="eastAsia" w:ascii="黑体" w:hAnsi="黑体"/>
          <w:b/>
          <w:bCs/>
        </w:rPr>
        <w:t>6</w:t>
      </w:r>
      <w:r>
        <w:rPr>
          <w:rFonts w:ascii="黑体" w:hAnsi="黑体"/>
          <w:b/>
          <w:bCs/>
        </w:rPr>
        <w:t>0.00%</w:t>
      </w:r>
      <w:r>
        <w:rPr>
          <w:b/>
          <w:bCs/>
        </w:rPr>
        <w:t>作为产品管理人</w:t>
      </w:r>
      <w:r>
        <w:rPr>
          <w:rFonts w:hint="eastAsia"/>
          <w:b/>
          <w:bCs/>
        </w:rPr>
        <w:t>对应份额</w:t>
      </w:r>
      <w:r>
        <w:rPr>
          <w:b/>
          <w:bCs/>
        </w:rPr>
        <w:t>的浮动管理费。</w:t>
      </w:r>
    </w:p>
    <w:p w14:paraId="66B86B35">
      <w:pPr>
        <w:autoSpaceDE w:val="0"/>
        <w:autoSpaceDN w:val="0"/>
        <w:adjustRightInd w:val="0"/>
        <w:ind w:firstLine="422" w:firstLineChars="200"/>
        <w:jc w:val="left"/>
        <w:rPr>
          <w:rFonts w:hint="eastAsia" w:eastAsia="黑体"/>
          <w:b/>
          <w:bCs/>
          <w:lang w:eastAsia="zh-CN"/>
        </w:rPr>
      </w:pPr>
      <w:r>
        <w:rPr>
          <w:b/>
          <w:bCs/>
        </w:rPr>
        <w:t>产品存续期内每个估值日，如果产品</w:t>
      </w:r>
      <w:r>
        <w:rPr>
          <w:rFonts w:hint="eastAsia"/>
          <w:b/>
          <w:bCs/>
        </w:rPr>
        <w:t>各份额</w:t>
      </w:r>
      <w:r>
        <w:rPr>
          <w:b/>
          <w:bCs/>
        </w:rPr>
        <w:t>成立日至估值日的扣除浮动管理费前的区间年化收益率大于</w:t>
      </w:r>
      <w:r>
        <w:rPr>
          <w:rFonts w:hint="eastAsia"/>
          <w:b/>
          <w:bCs/>
        </w:rPr>
        <w:t>该份额</w:t>
      </w:r>
      <w:r>
        <w:rPr>
          <w:b/>
          <w:bCs/>
        </w:rPr>
        <w:t>本区间浮动管理费计提基准，则据此计算本区间浮动管理费，本产品</w:t>
      </w:r>
      <w:r>
        <w:rPr>
          <w:rFonts w:hint="eastAsia"/>
          <w:b/>
          <w:bCs/>
        </w:rPr>
        <w:t>各份额</w:t>
      </w:r>
      <w:r>
        <w:rPr>
          <w:b/>
          <w:bCs/>
        </w:rPr>
        <w:t>浮动管理费在披露的</w:t>
      </w:r>
      <w:r>
        <w:rPr>
          <w:rFonts w:hint="eastAsia"/>
          <w:b/>
          <w:bCs/>
        </w:rPr>
        <w:t>该</w:t>
      </w:r>
      <w:r>
        <w:rPr>
          <w:b/>
          <w:bCs/>
        </w:rPr>
        <w:t>产品</w:t>
      </w:r>
      <w:r>
        <w:rPr>
          <w:rFonts w:hint="eastAsia"/>
          <w:b/>
          <w:bCs/>
        </w:rPr>
        <w:t>份额</w:t>
      </w:r>
      <w:r>
        <w:rPr>
          <w:b/>
          <w:bCs/>
        </w:rPr>
        <w:t>单位净值中扣除，披露的</w:t>
      </w:r>
      <w:r>
        <w:rPr>
          <w:rFonts w:hint="eastAsia"/>
          <w:b/>
          <w:bCs/>
        </w:rPr>
        <w:t>各份额的</w:t>
      </w:r>
      <w:r>
        <w:rPr>
          <w:b/>
          <w:bCs/>
        </w:rPr>
        <w:t>单位净值即可反映客户本区间真实的损益情况。计算区间浮动管理费的公式如下：</w:t>
      </w:r>
    </w:p>
    <w:p w14:paraId="22761436">
      <w:pPr>
        <w:autoSpaceDE w:val="0"/>
        <w:autoSpaceDN w:val="0"/>
        <w:adjustRightInd w:val="0"/>
        <w:ind w:firstLine="422" w:firstLineChars="200"/>
        <w:jc w:val="left"/>
        <w:rPr>
          <w:rFonts w:hint="eastAsia" w:ascii="黑体" w:hAnsi="黑体" w:eastAsia="黑体"/>
          <w:b/>
          <w:bCs/>
          <w:lang w:eastAsia="zh-CN"/>
        </w:rPr>
      </w:pPr>
      <w:r>
        <w:rPr>
          <w:rFonts w:ascii="黑体" w:hAnsi="黑体"/>
          <w:b/>
          <w:bCs/>
        </w:rPr>
        <w:t xml:space="preserve">   K=L*（M-N）*P/365*R</w:t>
      </w:r>
    </w:p>
    <w:p w14:paraId="08B799D7">
      <w:pPr>
        <w:autoSpaceDE w:val="0"/>
        <w:autoSpaceDN w:val="0"/>
        <w:adjustRightInd w:val="0"/>
        <w:ind w:firstLine="422" w:firstLineChars="200"/>
        <w:jc w:val="left"/>
        <w:rPr>
          <w:rFonts w:hint="eastAsia" w:eastAsia="黑体"/>
          <w:b/>
          <w:bCs/>
          <w:lang w:eastAsia="zh-CN"/>
        </w:rPr>
      </w:pPr>
      <w:r>
        <w:rPr>
          <w:b/>
          <w:bCs/>
        </w:rPr>
        <w:t xml:space="preserve">   K为产品</w:t>
      </w:r>
      <w:r>
        <w:rPr>
          <w:rFonts w:hint="eastAsia"/>
          <w:b/>
          <w:bCs/>
        </w:rPr>
        <w:t>各份额</w:t>
      </w:r>
      <w:r>
        <w:rPr>
          <w:b/>
          <w:bCs/>
        </w:rPr>
        <w:t>成立日至估值日的区间浮动管理费</w:t>
      </w:r>
    </w:p>
    <w:p w14:paraId="01F9BA64">
      <w:pPr>
        <w:autoSpaceDE w:val="0"/>
        <w:autoSpaceDN w:val="0"/>
        <w:adjustRightInd w:val="0"/>
        <w:ind w:firstLine="422" w:firstLineChars="200"/>
        <w:jc w:val="left"/>
        <w:rPr>
          <w:rFonts w:hint="eastAsia" w:eastAsia="黑体"/>
          <w:b/>
          <w:bCs/>
          <w:lang w:eastAsia="zh-CN"/>
        </w:rPr>
      </w:pPr>
      <w:r>
        <w:rPr>
          <w:b/>
          <w:bCs/>
        </w:rPr>
        <w:t xml:space="preserve">   L为</w:t>
      </w:r>
      <w:r>
        <w:rPr>
          <w:rFonts w:hint="eastAsia"/>
          <w:b/>
          <w:bCs/>
          <w:lang w:val="en-US" w:eastAsia="zh-CN"/>
        </w:rPr>
        <w:t>估值日</w:t>
      </w:r>
      <w:r>
        <w:rPr>
          <w:b/>
          <w:bCs/>
        </w:rPr>
        <w:t>产品</w:t>
      </w:r>
      <w:r>
        <w:rPr>
          <w:rFonts w:hint="eastAsia"/>
          <w:b/>
          <w:bCs/>
        </w:rPr>
        <w:t>该份额的</w:t>
      </w:r>
      <w:r>
        <w:rPr>
          <w:b/>
          <w:bCs/>
        </w:rPr>
        <w:t>总份额</w:t>
      </w:r>
    </w:p>
    <w:p w14:paraId="13808FB0">
      <w:pPr>
        <w:autoSpaceDE w:val="0"/>
        <w:autoSpaceDN w:val="0"/>
        <w:adjustRightInd w:val="0"/>
        <w:ind w:firstLine="422" w:firstLineChars="200"/>
        <w:jc w:val="left"/>
        <w:rPr>
          <w:rFonts w:hint="eastAsia" w:eastAsia="黑体"/>
          <w:b/>
          <w:bCs/>
          <w:lang w:eastAsia="zh-CN"/>
        </w:rPr>
      </w:pPr>
      <w:r>
        <w:rPr>
          <w:b/>
          <w:bCs/>
        </w:rPr>
        <w:t xml:space="preserve">   M为产品</w:t>
      </w:r>
      <w:r>
        <w:rPr>
          <w:rFonts w:hint="eastAsia"/>
          <w:b/>
          <w:bCs/>
        </w:rPr>
        <w:t>该份额</w:t>
      </w:r>
      <w:r>
        <w:rPr>
          <w:b/>
          <w:bCs/>
        </w:rPr>
        <w:t>成立日至估值日的扣除浮动管理费前的区间年化收益率，根据产品</w:t>
      </w:r>
      <w:r>
        <w:rPr>
          <w:rFonts w:hint="eastAsia"/>
          <w:b/>
          <w:bCs/>
        </w:rPr>
        <w:t>该份额</w:t>
      </w:r>
      <w:r>
        <w:rPr>
          <w:b/>
          <w:bCs/>
        </w:rPr>
        <w:t>成立日前一自然日产品单位净值和估值日的扣除浮动管理费前单位净值计算得出。如果本区间内有分红，应将分红金额加回再计算估值日单位净值</w:t>
      </w:r>
    </w:p>
    <w:p w14:paraId="16A45FC0">
      <w:pPr>
        <w:autoSpaceDE w:val="0"/>
        <w:autoSpaceDN w:val="0"/>
        <w:adjustRightInd w:val="0"/>
        <w:ind w:firstLine="422" w:firstLineChars="200"/>
        <w:jc w:val="left"/>
        <w:rPr>
          <w:rFonts w:hint="eastAsia" w:eastAsia="黑体"/>
          <w:b/>
          <w:bCs/>
          <w:lang w:eastAsia="zh-CN"/>
        </w:rPr>
      </w:pPr>
      <w:r>
        <w:rPr>
          <w:b/>
          <w:bCs/>
        </w:rPr>
        <w:t xml:space="preserve">   N为</w:t>
      </w:r>
      <w:r>
        <w:rPr>
          <w:rFonts w:hint="eastAsia"/>
          <w:b/>
          <w:bCs/>
        </w:rPr>
        <w:t>产品该份额对应的</w:t>
      </w:r>
      <w:r>
        <w:rPr>
          <w:b/>
          <w:bCs/>
        </w:rPr>
        <w:t>浮动管理费计提基准，本产品为</w:t>
      </w:r>
      <w:r>
        <w:rPr>
          <w:rFonts w:hint="eastAsia"/>
          <w:b/>
          <w:bCs/>
        </w:rPr>
        <w:t>该份额对应的</w:t>
      </w:r>
      <w:r>
        <w:rPr>
          <w:b/>
          <w:bCs/>
        </w:rPr>
        <w:t>业绩比较基准</w:t>
      </w:r>
    </w:p>
    <w:p w14:paraId="25AC4B28">
      <w:pPr>
        <w:autoSpaceDE w:val="0"/>
        <w:autoSpaceDN w:val="0"/>
        <w:adjustRightInd w:val="0"/>
        <w:ind w:firstLine="422" w:firstLineChars="200"/>
        <w:jc w:val="left"/>
        <w:rPr>
          <w:rFonts w:hint="eastAsia" w:eastAsia="黑体"/>
          <w:b/>
          <w:bCs/>
          <w:lang w:eastAsia="zh-CN"/>
        </w:rPr>
      </w:pPr>
      <w:r>
        <w:rPr>
          <w:b/>
          <w:bCs/>
        </w:rPr>
        <w:t xml:space="preserve">   P为产品</w:t>
      </w:r>
      <w:r>
        <w:rPr>
          <w:rFonts w:hint="eastAsia"/>
          <w:b/>
          <w:bCs/>
        </w:rPr>
        <w:t>该份额</w:t>
      </w:r>
      <w:r>
        <w:rPr>
          <w:b/>
          <w:bCs/>
        </w:rPr>
        <w:t>成立日（含）至估值日（含）的区间天数</w:t>
      </w:r>
    </w:p>
    <w:p w14:paraId="4C10330D">
      <w:pPr>
        <w:autoSpaceDE w:val="0"/>
        <w:autoSpaceDN w:val="0"/>
        <w:adjustRightInd w:val="0"/>
        <w:ind w:firstLine="422" w:firstLineChars="200"/>
        <w:jc w:val="left"/>
        <w:rPr>
          <w:rFonts w:hint="eastAsia" w:eastAsia="黑体"/>
          <w:b/>
          <w:bCs/>
          <w:lang w:eastAsia="zh-CN"/>
        </w:rPr>
      </w:pPr>
      <w:r>
        <w:rPr>
          <w:b/>
          <w:bCs/>
        </w:rPr>
        <w:t xml:space="preserve">   R为本公司收取</w:t>
      </w:r>
      <w:r>
        <w:rPr>
          <w:rFonts w:hint="eastAsia"/>
          <w:b/>
          <w:bCs/>
        </w:rPr>
        <w:t>本产品该份额的</w:t>
      </w:r>
      <w:r>
        <w:rPr>
          <w:b/>
          <w:bCs/>
        </w:rPr>
        <w:t>浮动管理费的比例</w:t>
      </w:r>
    </w:p>
    <w:p w14:paraId="0202E4BE">
      <w:pPr>
        <w:autoSpaceDE w:val="0"/>
        <w:autoSpaceDN w:val="0"/>
        <w:adjustRightInd w:val="0"/>
        <w:ind w:firstLine="420" w:firstLineChars="200"/>
        <w:jc w:val="left"/>
        <w:rPr>
          <w:rFonts w:ascii="黑体" w:hAnsi="黑体" w:cs="黑体"/>
          <w:b/>
          <w:kern w:val="0"/>
          <w:szCs w:val="21"/>
        </w:rPr>
      </w:pPr>
      <w:r>
        <w:t xml:space="preserve">   </w:t>
      </w:r>
      <w:r>
        <w:rPr>
          <w:rFonts w:hint="eastAsia" w:ascii="黑体" w:hAnsi="黑体" w:cs="黑体"/>
          <w:b/>
          <w:kern w:val="0"/>
          <w:szCs w:val="21"/>
        </w:rPr>
        <w:t>浮动管理费在每个估值日进行暂估，已实现的浮动管理费在产品到期（提前终止）后支付，或由管理人向托管人发送指令，托管人复核后从产品资产中支付。</w:t>
      </w:r>
    </w:p>
    <w:p w14:paraId="6053D2D1">
      <w:pPr>
        <w:pStyle w:val="14"/>
      </w:pPr>
    </w:p>
    <w:p w14:paraId="6867138A">
      <w:pPr>
        <w:pStyle w:val="14"/>
      </w:pPr>
      <w:r>
        <w:t>4、托管费：本产品托管费按</w:t>
      </w:r>
      <w:r>
        <w:rPr>
          <w:rFonts w:hint="eastAsia"/>
        </w:rPr>
        <w:t>当日产品扣除回购融资、产品运作及清算中产生的其他费用、产品运营中发生的增值税及附加税费等费用后的资产净值的0.01%</w:t>
      </w:r>
      <w:r>
        <w:t>计提。计算方法如下：</w:t>
      </w:r>
    </w:p>
    <w:p w14:paraId="0DB3164D">
      <w:pPr>
        <w:pStyle w:val="14"/>
      </w:pPr>
      <w:r>
        <w:rPr>
          <w:rFonts w:hint="eastAsia"/>
        </w:rPr>
        <w:t>T＝B×托管费率（年化）÷365</w:t>
      </w:r>
    </w:p>
    <w:p w14:paraId="761BCA64">
      <w:pPr>
        <w:pStyle w:val="14"/>
      </w:pPr>
      <w:r>
        <w:rPr>
          <w:rFonts w:hint="eastAsia"/>
        </w:rPr>
        <w:t>T为产品各份额每一自然日应计提的产品托管费</w:t>
      </w:r>
    </w:p>
    <w:p w14:paraId="43143DC1">
      <w:pPr>
        <w:pStyle w:val="14"/>
      </w:pPr>
      <w:r>
        <w:rPr>
          <w:rFonts w:hint="eastAsia"/>
        </w:rPr>
        <w:t>B为估值日产品该份额扣除回购融资、产品运作及清算中产生的其他费用、产品运营中发生的增值税及附加税费等费用后的资产净值。</w:t>
      </w:r>
    </w:p>
    <w:p w14:paraId="419B1D4B">
      <w:pPr>
        <w:autoSpaceDE w:val="0"/>
        <w:autoSpaceDN w:val="0"/>
        <w:adjustRightInd w:val="0"/>
        <w:ind w:firstLine="422" w:firstLineChars="200"/>
        <w:jc w:val="left"/>
        <w:rPr>
          <w:rFonts w:ascii="黑体" w:hAnsi="黑体" w:cs="黑体"/>
          <w:b/>
          <w:kern w:val="0"/>
          <w:szCs w:val="21"/>
        </w:rPr>
      </w:pPr>
      <w:r>
        <w:rPr>
          <w:rFonts w:hint="eastAsia" w:ascii="黑体" w:hAnsi="黑体" w:cs="黑体"/>
          <w:b/>
          <w:kern w:val="0"/>
          <w:szCs w:val="21"/>
        </w:rPr>
        <w:t>托管费每日计提，产品到期（提前终止）后支付，或由管理人向托管人发送指令，托管人复核后从产品资产中支付。</w:t>
      </w:r>
    </w:p>
    <w:p w14:paraId="41B02F3C">
      <w:pPr>
        <w:pStyle w:val="15"/>
      </w:pPr>
    </w:p>
    <w:p w14:paraId="16558531">
      <w:pPr>
        <w:autoSpaceDE w:val="0"/>
        <w:autoSpaceDN w:val="0"/>
        <w:adjustRightInd w:val="0"/>
        <w:ind w:firstLine="422" w:firstLineChars="200"/>
        <w:jc w:val="left"/>
        <w:rPr>
          <w:rFonts w:ascii="黑体" w:hAnsi="黑体" w:cs="黑体"/>
          <w:b/>
          <w:kern w:val="0"/>
          <w:szCs w:val="21"/>
        </w:rPr>
      </w:pPr>
      <w:r>
        <w:rPr>
          <w:rFonts w:ascii="黑体" w:hAnsi="黑体" w:cs="黑体"/>
          <w:b/>
          <w:kern w:val="0"/>
          <w:szCs w:val="21"/>
        </w:rPr>
        <w:t>5、手续费</w:t>
      </w:r>
      <w:r>
        <w:rPr>
          <w:rFonts w:hint="eastAsia" w:ascii="黑体" w:hAnsi="黑体" w:cs="黑体"/>
          <w:b/>
          <w:kern w:val="0"/>
          <w:szCs w:val="21"/>
        </w:rPr>
        <w:t>：</w:t>
      </w:r>
      <w:bookmarkStart w:id="3" w:name="_Hlk33053737"/>
      <w:r>
        <w:rPr>
          <w:rFonts w:ascii="黑体" w:hAnsi="黑体" w:cs="黑体"/>
          <w:b/>
          <w:kern w:val="0"/>
          <w:szCs w:val="21"/>
        </w:rPr>
        <w:t xml:space="preserve"> </w:t>
      </w:r>
    </w:p>
    <w:p w14:paraId="6D3466AD">
      <w:pPr>
        <w:pStyle w:val="14"/>
      </w:pPr>
      <w:r>
        <w:t>无</w:t>
      </w:r>
    </w:p>
    <w:bookmarkEnd w:id="3"/>
    <w:p w14:paraId="3CE0A34E">
      <w:pPr>
        <w:autoSpaceDE w:val="0"/>
        <w:autoSpaceDN w:val="0"/>
        <w:adjustRightInd w:val="0"/>
        <w:ind w:firstLine="422" w:firstLineChars="200"/>
        <w:jc w:val="left"/>
        <w:rPr>
          <w:rFonts w:ascii="黑体" w:hAnsi="黑体" w:cs="黑体"/>
          <w:b/>
          <w:kern w:val="0"/>
          <w:szCs w:val="21"/>
        </w:rPr>
      </w:pPr>
      <w:bookmarkStart w:id="4" w:name="_Hlk33107492"/>
      <w:r>
        <w:rPr>
          <w:rFonts w:ascii="黑体" w:hAnsi="黑体" w:cs="黑体"/>
          <w:b/>
          <w:kern w:val="0"/>
          <w:szCs w:val="21"/>
        </w:rPr>
        <w:t>6、其他费用：</w:t>
      </w:r>
    </w:p>
    <w:p w14:paraId="093C5B7A">
      <w:pPr>
        <w:autoSpaceDE w:val="0"/>
        <w:autoSpaceDN w:val="0"/>
        <w:adjustRightInd w:val="0"/>
        <w:ind w:firstLine="422" w:firstLineChars="200"/>
        <w:jc w:val="left"/>
        <w:rPr>
          <w:rFonts w:ascii="黑体" w:hAnsi="黑体" w:cs="黑体"/>
          <w:b/>
          <w:kern w:val="0"/>
          <w:szCs w:val="21"/>
        </w:rPr>
      </w:pPr>
      <w:r>
        <w:rPr>
          <w:rFonts w:hint="eastAsia" w:ascii="黑体" w:hAnsi="黑体" w:cs="黑体"/>
          <w:b/>
          <w:kern w:val="0"/>
          <w:szCs w:val="21"/>
        </w:rPr>
        <w:t>无</w:t>
      </w:r>
    </w:p>
    <w:p w14:paraId="20EA7185">
      <w:pPr>
        <w:autoSpaceDE w:val="0"/>
        <w:autoSpaceDN w:val="0"/>
        <w:adjustRightInd w:val="0"/>
        <w:ind w:firstLine="422" w:firstLineChars="200"/>
        <w:jc w:val="left"/>
        <w:rPr>
          <w:rFonts w:ascii="黑体" w:hAnsi="黑体" w:cs="黑体"/>
          <w:b/>
          <w:kern w:val="0"/>
          <w:szCs w:val="21"/>
        </w:rPr>
      </w:pPr>
      <w:r>
        <w:rPr>
          <w:rFonts w:ascii="黑体" w:hAnsi="黑体" w:cs="黑体"/>
          <w:b/>
          <w:kern w:val="0"/>
          <w:szCs w:val="21"/>
        </w:rPr>
        <w:t>7</w:t>
      </w:r>
      <w:r>
        <w:rPr>
          <w:rFonts w:hint="eastAsia" w:ascii="黑体" w:hAnsi="黑体" w:cs="黑体"/>
          <w:b/>
          <w:kern w:val="0"/>
          <w:szCs w:val="21"/>
        </w:rPr>
        <w:t>、产品运作和清算中产生的其他费用，包括但不限于资金汇划费、结算费、交易手续费、注册登记费、信息披露费、账户服务费、审计费、律师费等费用，按照实际发生情况从产品中列支。</w:t>
      </w:r>
    </w:p>
    <w:p w14:paraId="79C4332D">
      <w:pPr>
        <w:autoSpaceDE w:val="0"/>
        <w:autoSpaceDN w:val="0"/>
        <w:adjustRightInd w:val="0"/>
        <w:ind w:firstLine="420" w:firstLineChars="200"/>
        <w:jc w:val="left"/>
        <w:rPr>
          <w:rFonts w:ascii="黑体" w:hAnsi="黑体" w:cs="黑体"/>
          <w:kern w:val="0"/>
          <w:szCs w:val="21"/>
        </w:rPr>
      </w:pPr>
      <w:r>
        <w:rPr>
          <w:rFonts w:ascii="黑体" w:hAnsi="黑体" w:cs="黑体"/>
          <w:kern w:val="0"/>
          <w:szCs w:val="21"/>
        </w:rPr>
        <w:t>8</w:t>
      </w:r>
      <w:r>
        <w:rPr>
          <w:rFonts w:hint="eastAsia" w:ascii="黑体" w:hAnsi="黑体" w:cs="黑体"/>
          <w:kern w:val="0"/>
          <w:szCs w:val="21"/>
        </w:rPr>
        <w:t>、上述费用将按相关合同约定的时间和方式支付给收款方。</w:t>
      </w:r>
    </w:p>
    <w:bookmarkEnd w:id="4"/>
    <w:p w14:paraId="138ACE83">
      <w:pPr>
        <w:pStyle w:val="14"/>
      </w:pPr>
      <w:r>
        <w:t>9、产品管理人有权根据市场情况等调整上述各项收费项目、收费条件、收费标准和收费方式，并至少于调整日之前3个工作日进行公告。上述情况下产品管理人将可能开放赎回，具体以信息披露公告为准。投资者不同意公告内容的，可按公告约定全部赎回本产品。若投资者在公告执行后继续持有本产品的，视同接受公告内容。</w:t>
      </w:r>
    </w:p>
    <w:p w14:paraId="06E75726">
      <w:pPr>
        <w:autoSpaceDE w:val="0"/>
        <w:autoSpaceDN w:val="0"/>
        <w:adjustRightInd w:val="0"/>
        <w:jc w:val="left"/>
        <w:rPr>
          <w:rFonts w:ascii="黑体" w:hAnsi="黑体" w:cs="宋体"/>
          <w:kern w:val="0"/>
          <w:szCs w:val="21"/>
        </w:rPr>
      </w:pPr>
      <w:r>
        <w:rPr>
          <w:rFonts w:hint="eastAsia" w:ascii="黑体" w:hAnsi="黑体" w:cs="宋体"/>
          <w:kern w:val="0"/>
          <w:szCs w:val="21"/>
        </w:rPr>
        <w:t>（二）产品收益计算示例</w:t>
      </w:r>
    </w:p>
    <w:p w14:paraId="56CE523F">
      <w:pPr>
        <w:autoSpaceDE w:val="0"/>
        <w:autoSpaceDN w:val="0"/>
        <w:adjustRightInd w:val="0"/>
        <w:ind w:firstLine="420" w:firstLineChars="200"/>
        <w:jc w:val="left"/>
        <w:rPr>
          <w:rFonts w:ascii="黑体" w:hAnsi="黑体" w:cs="ËÎÌå"/>
          <w:kern w:val="0"/>
          <w:szCs w:val="21"/>
        </w:rPr>
      </w:pPr>
      <w:r>
        <w:rPr>
          <w:rFonts w:hint="eastAsia" w:ascii="黑体" w:hAnsi="黑体" w:cs="ËÎÌå"/>
          <w:kern w:val="0"/>
          <w:szCs w:val="21"/>
        </w:rPr>
        <w:t>示例1：假设投资者于募集期认购，本金为50000元，净值为1.00元/份，则投资者持有份额为50000份，产品到期时产品单位净值为1.05元/份，即到期价格为1.05元/份，则产品到期后兑付投资者金额： 50000× 1.05＝52500元 ，投资者理财收益2500元。</w:t>
      </w:r>
    </w:p>
    <w:p w14:paraId="7531AE8D">
      <w:pPr>
        <w:autoSpaceDE w:val="0"/>
        <w:autoSpaceDN w:val="0"/>
        <w:adjustRightInd w:val="0"/>
        <w:ind w:firstLine="420" w:firstLineChars="200"/>
        <w:jc w:val="left"/>
        <w:rPr>
          <w:rFonts w:ascii="黑体" w:hAnsi="黑体" w:cs="宋体"/>
          <w:kern w:val="0"/>
          <w:szCs w:val="21"/>
        </w:rPr>
      </w:pPr>
      <w:r>
        <w:rPr>
          <w:rFonts w:hint="eastAsia" w:ascii="黑体" w:hAnsi="黑体" w:cs="ËÎÌå"/>
          <w:kern w:val="0"/>
          <w:szCs w:val="21"/>
        </w:rPr>
        <w:t>示例2：假设投资者于募集期认购，本金为100000元，净值为1.00元/份，则投资者持有份额为100000份，产品到期时产品单位净值为0.98元/份，即到期价格为0.98元/份，则产品到期后兑付投资者金额： 100000× 0.98＝98000元 ，投资者亏损金额为2000元。</w:t>
      </w:r>
    </w:p>
    <w:p w14:paraId="60E6B930">
      <w:pPr>
        <w:autoSpaceDE w:val="0"/>
        <w:autoSpaceDN w:val="0"/>
        <w:adjustRightInd w:val="0"/>
        <w:ind w:firstLine="420" w:firstLineChars="200"/>
        <w:jc w:val="left"/>
        <w:rPr>
          <w:rFonts w:ascii="黑体" w:hAnsi="黑体" w:cs="宋体"/>
          <w:kern w:val="0"/>
          <w:szCs w:val="21"/>
        </w:rPr>
      </w:pPr>
      <w:r>
        <w:rPr>
          <w:rFonts w:hint="eastAsia" w:ascii="黑体" w:hAnsi="黑体" w:cs="宋体"/>
          <w:kern w:val="0"/>
          <w:szCs w:val="21"/>
        </w:rPr>
        <w:t>上述示例采用假设数据计算，测算收益不等于实际收益，投资需谨慎。</w:t>
      </w:r>
    </w:p>
    <w:p w14:paraId="13C65E36">
      <w:pPr>
        <w:autoSpaceDE w:val="0"/>
        <w:autoSpaceDN w:val="0"/>
        <w:adjustRightInd w:val="0"/>
        <w:ind w:firstLine="422" w:firstLineChars="200"/>
        <w:jc w:val="left"/>
        <w:rPr>
          <w:rFonts w:ascii="黑体" w:hAnsi="黑体" w:cs="宋体"/>
          <w:b/>
          <w:bCs/>
          <w:kern w:val="0"/>
          <w:szCs w:val="21"/>
        </w:rPr>
      </w:pPr>
      <w:r>
        <w:rPr>
          <w:rFonts w:hint="eastAsia" w:ascii="黑体" w:hAnsi="黑体" w:cs="宋体"/>
          <w:b/>
          <w:bCs/>
          <w:kern w:val="0"/>
          <w:szCs w:val="21"/>
        </w:rPr>
        <w:t>在最不利情况下，投资者甚至可能损失全部本金。投资者应充分认识投资风险，谨慎投资。</w:t>
      </w:r>
    </w:p>
    <w:p w14:paraId="53A82521">
      <w:pPr>
        <w:autoSpaceDE w:val="0"/>
        <w:autoSpaceDN w:val="0"/>
        <w:adjustRightInd w:val="0"/>
        <w:ind w:firstLine="420" w:firstLineChars="200"/>
        <w:jc w:val="left"/>
        <w:rPr>
          <w:rFonts w:ascii="黑体" w:hAnsi="黑体" w:cs="宋体"/>
          <w:kern w:val="0"/>
          <w:szCs w:val="21"/>
        </w:rPr>
      </w:pPr>
      <w:r>
        <w:rPr>
          <w:rFonts w:hint="eastAsia" w:ascii="黑体" w:hAnsi="黑体" w:cs="宋体"/>
          <w:kern w:val="0"/>
          <w:szCs w:val="21"/>
        </w:rPr>
        <w:t>示例：如投资者购买本理财产品，本金为10,000.00元，在理财产品资产组合项下资产全部亏损的最不利情况下，理财产品10,000.00元本金将全部损失</w:t>
      </w:r>
    </w:p>
    <w:p w14:paraId="09CED0CD">
      <w:pPr>
        <w:autoSpaceDE w:val="0"/>
        <w:autoSpaceDN w:val="0"/>
        <w:adjustRightInd w:val="0"/>
        <w:ind w:firstLine="420" w:firstLineChars="200"/>
        <w:jc w:val="left"/>
        <w:rPr>
          <w:rFonts w:ascii="黑体" w:hAnsi="黑体" w:cs="宋体"/>
          <w:kern w:val="0"/>
          <w:szCs w:val="21"/>
        </w:rPr>
      </w:pPr>
    </w:p>
    <w:p w14:paraId="78992A4C">
      <w:pPr>
        <w:autoSpaceDE w:val="0"/>
        <w:autoSpaceDN w:val="0"/>
        <w:adjustRightInd w:val="0"/>
        <w:jc w:val="left"/>
        <w:rPr>
          <w:rFonts w:ascii="黑体" w:hAnsi="黑体" w:cs="宋体"/>
          <w:kern w:val="0"/>
          <w:szCs w:val="21"/>
        </w:rPr>
      </w:pPr>
      <w:r>
        <w:rPr>
          <w:rFonts w:hint="eastAsia" w:ascii="黑体" w:hAnsi="黑体" w:cs="宋体"/>
          <w:kern w:val="0"/>
          <w:szCs w:val="21"/>
        </w:rPr>
        <w:t>（三）税收</w:t>
      </w:r>
    </w:p>
    <w:p w14:paraId="435CC58C">
      <w:pPr>
        <w:autoSpaceDE w:val="0"/>
        <w:autoSpaceDN w:val="0"/>
        <w:adjustRightInd w:val="0"/>
        <w:ind w:firstLine="422" w:firstLineChars="200"/>
        <w:jc w:val="left"/>
        <w:rPr>
          <w:rFonts w:ascii="黑体" w:hAnsi="黑体" w:cs="黑体"/>
          <w:b/>
          <w:kern w:val="0"/>
          <w:szCs w:val="21"/>
        </w:rPr>
      </w:pPr>
      <w:r>
        <w:rPr>
          <w:rFonts w:ascii="黑体" w:hAnsi="黑体" w:cs="黑体"/>
          <w:b/>
          <w:kern w:val="0"/>
          <w:szCs w:val="21"/>
        </w:rPr>
        <w:t>1、根据财政部、国家税务总局相关税收监管政策的规定，理财产品运营过程中发生的增值税应税行为，以</w:t>
      </w:r>
      <w:r>
        <w:rPr>
          <w:rFonts w:hint="eastAsia" w:ascii="黑体" w:hAnsi="黑体" w:cs="黑体"/>
          <w:b/>
          <w:kern w:val="0"/>
          <w:szCs w:val="21"/>
        </w:rPr>
        <w:t>理财产品为增值税纳税主体，计算并缴纳增值税及附加税费。产品</w:t>
      </w:r>
      <w:r>
        <w:rPr>
          <w:rFonts w:ascii="黑体" w:hAnsi="黑体" w:cs="黑体"/>
          <w:b/>
          <w:kern w:val="0"/>
          <w:szCs w:val="21"/>
        </w:rPr>
        <w:t>管理人将按照相关规定计算应缴纳的税费，</w:t>
      </w:r>
      <w:r>
        <w:rPr>
          <w:rFonts w:hint="eastAsia" w:ascii="黑体" w:hAnsi="黑体" w:cs="黑体"/>
          <w:b/>
          <w:kern w:val="0"/>
          <w:szCs w:val="21"/>
        </w:rPr>
        <w:t>并</w:t>
      </w:r>
      <w:r>
        <w:rPr>
          <w:rFonts w:ascii="黑体" w:hAnsi="黑体" w:cs="黑体"/>
          <w:b/>
          <w:kern w:val="0"/>
          <w:szCs w:val="21"/>
        </w:rPr>
        <w:t>从本产品财产中</w:t>
      </w:r>
      <w:r>
        <w:rPr>
          <w:rFonts w:hint="eastAsia" w:ascii="黑体" w:hAnsi="黑体" w:cs="黑体"/>
          <w:b/>
          <w:kern w:val="0"/>
          <w:szCs w:val="21"/>
        </w:rPr>
        <w:t>扣除</w:t>
      </w:r>
      <w:r>
        <w:rPr>
          <w:rFonts w:ascii="黑体" w:hAnsi="黑体" w:cs="黑体"/>
          <w:b/>
          <w:kern w:val="0"/>
          <w:szCs w:val="21"/>
        </w:rPr>
        <w:t>。</w:t>
      </w:r>
    </w:p>
    <w:p w14:paraId="4B4CD033">
      <w:pPr>
        <w:autoSpaceDE w:val="0"/>
        <w:autoSpaceDN w:val="0"/>
        <w:adjustRightInd w:val="0"/>
        <w:ind w:firstLine="420" w:firstLineChars="200"/>
        <w:jc w:val="left"/>
        <w:rPr>
          <w:rFonts w:ascii="黑体" w:hAnsi="黑体" w:cs="黑体"/>
          <w:kern w:val="0"/>
          <w:szCs w:val="21"/>
        </w:rPr>
      </w:pPr>
      <w:r>
        <w:rPr>
          <w:rFonts w:ascii="黑体" w:hAnsi="黑体" w:cs="黑体"/>
          <w:kern w:val="0"/>
          <w:szCs w:val="21"/>
        </w:rPr>
        <w:t>2</w:t>
      </w:r>
      <w:r>
        <w:rPr>
          <w:rFonts w:hint="eastAsia" w:ascii="黑体" w:hAnsi="黑体" w:cs="黑体"/>
          <w:kern w:val="0"/>
          <w:szCs w:val="21"/>
        </w:rPr>
        <w:t>、除法律法规</w:t>
      </w:r>
      <w:r>
        <w:rPr>
          <w:rFonts w:ascii="黑体" w:hAnsi="黑体" w:cs="黑体"/>
          <w:kern w:val="0"/>
          <w:szCs w:val="21"/>
        </w:rPr>
        <w:t>特别要求外，投资者应缴纳的</w:t>
      </w:r>
      <w:r>
        <w:rPr>
          <w:rFonts w:hint="eastAsia" w:ascii="黑体" w:hAnsi="黑体" w:cs="黑体"/>
          <w:kern w:val="0"/>
          <w:szCs w:val="21"/>
        </w:rPr>
        <w:t>税费</w:t>
      </w:r>
      <w:r>
        <w:rPr>
          <w:rFonts w:ascii="黑体" w:hAnsi="黑体" w:cs="黑体"/>
          <w:kern w:val="0"/>
          <w:szCs w:val="21"/>
        </w:rPr>
        <w:t>由投资者</w:t>
      </w:r>
      <w:r>
        <w:rPr>
          <w:rFonts w:hint="eastAsia" w:ascii="黑体" w:hAnsi="黑体" w:cs="黑体"/>
          <w:kern w:val="0"/>
          <w:szCs w:val="21"/>
        </w:rPr>
        <w:t>自行缴纳</w:t>
      </w:r>
      <w:r>
        <w:rPr>
          <w:rFonts w:ascii="黑体" w:hAnsi="黑体" w:cs="黑体"/>
          <w:kern w:val="0"/>
          <w:szCs w:val="21"/>
        </w:rPr>
        <w:t>，</w:t>
      </w:r>
      <w:r>
        <w:rPr>
          <w:rFonts w:hint="eastAsia" w:ascii="黑体" w:hAnsi="黑体" w:cs="黑体"/>
          <w:kern w:val="0"/>
          <w:szCs w:val="21"/>
        </w:rPr>
        <w:t>产品管理人</w:t>
      </w:r>
      <w:r>
        <w:rPr>
          <w:rFonts w:ascii="黑体" w:hAnsi="黑体" w:cs="黑体"/>
          <w:kern w:val="0"/>
          <w:szCs w:val="21"/>
        </w:rPr>
        <w:t>不承担代扣代缴或纳税的义务。</w:t>
      </w:r>
    </w:p>
    <w:p w14:paraId="2D946FED">
      <w:pPr>
        <w:autoSpaceDE w:val="0"/>
        <w:autoSpaceDN w:val="0"/>
        <w:adjustRightInd w:val="0"/>
        <w:ind w:firstLine="420" w:firstLineChars="200"/>
        <w:jc w:val="left"/>
        <w:rPr>
          <w:rFonts w:ascii="黑体" w:hAnsi="黑体" w:cs="黑体"/>
          <w:kern w:val="0"/>
          <w:szCs w:val="21"/>
        </w:rPr>
      </w:pPr>
      <w:r>
        <w:rPr>
          <w:rFonts w:ascii="黑体" w:hAnsi="黑体" w:cs="黑体"/>
          <w:kern w:val="0"/>
          <w:szCs w:val="21"/>
        </w:rPr>
        <w:t>3</w:t>
      </w:r>
      <w:r>
        <w:rPr>
          <w:rFonts w:hint="eastAsia" w:ascii="黑体" w:hAnsi="黑体" w:cs="黑体"/>
          <w:kern w:val="0"/>
          <w:szCs w:val="21"/>
        </w:rPr>
        <w:t>、后续国家法律法规如对相关税收政策进行调整，产品管理人有权根据税收政策相应调整理财产品运营过程中发生的税费计算及</w:t>
      </w:r>
      <w:r>
        <w:rPr>
          <w:rFonts w:ascii="黑体" w:hAnsi="黑体" w:cs="黑体"/>
          <w:kern w:val="0"/>
          <w:szCs w:val="21"/>
        </w:rPr>
        <w:t>缴纳</w:t>
      </w:r>
      <w:r>
        <w:rPr>
          <w:rFonts w:hint="eastAsia" w:ascii="黑体" w:hAnsi="黑体" w:cs="黑体"/>
          <w:kern w:val="0"/>
          <w:szCs w:val="21"/>
        </w:rPr>
        <w:t>方式。</w:t>
      </w:r>
    </w:p>
    <w:p w14:paraId="298CCDDC">
      <w:pPr>
        <w:autoSpaceDE w:val="0"/>
        <w:autoSpaceDN w:val="0"/>
        <w:adjustRightInd w:val="0"/>
        <w:jc w:val="left"/>
        <w:rPr>
          <w:rFonts w:ascii="黑体" w:hAnsi="黑体" w:cs="黑体"/>
          <w:kern w:val="0"/>
          <w:szCs w:val="21"/>
        </w:rPr>
      </w:pPr>
    </w:p>
    <w:p w14:paraId="14A56AAE">
      <w:pPr>
        <w:autoSpaceDE w:val="0"/>
        <w:autoSpaceDN w:val="0"/>
        <w:adjustRightInd w:val="0"/>
        <w:jc w:val="left"/>
        <w:rPr>
          <w:rFonts w:ascii="黑体" w:hAnsi="黑体" w:cs="黑体"/>
          <w:b/>
          <w:kern w:val="0"/>
          <w:szCs w:val="21"/>
        </w:rPr>
      </w:pPr>
      <w:r>
        <w:rPr>
          <w:rFonts w:hint="eastAsia" w:ascii="黑体" w:hAnsi="黑体" w:cs="黑体"/>
          <w:b/>
          <w:kern w:val="0"/>
          <w:szCs w:val="21"/>
        </w:rPr>
        <w:t>七、</w:t>
      </w:r>
      <w:bookmarkStart w:id="5" w:name="_Hlk33087179"/>
      <w:bookmarkStart w:id="6" w:name="_Hlk33087400"/>
      <w:r>
        <w:rPr>
          <w:rFonts w:hint="eastAsia" w:ascii="黑体" w:hAnsi="黑体" w:cs="黑体"/>
          <w:b/>
          <w:kern w:val="0"/>
          <w:szCs w:val="21"/>
        </w:rPr>
        <w:t>理财产品到期与终止</w:t>
      </w:r>
    </w:p>
    <w:p w14:paraId="61489B5A">
      <w:pPr>
        <w:autoSpaceDE w:val="0"/>
        <w:autoSpaceDN w:val="0"/>
        <w:adjustRightInd w:val="0"/>
        <w:ind w:firstLine="422" w:firstLineChars="200"/>
        <w:jc w:val="left"/>
        <w:rPr>
          <w:rFonts w:ascii="黑体" w:hAnsi="黑体" w:cs="宋体"/>
          <w:b/>
          <w:kern w:val="0"/>
          <w:szCs w:val="21"/>
        </w:rPr>
      </w:pPr>
      <w:r>
        <w:rPr>
          <w:rFonts w:ascii="黑体" w:hAnsi="黑体" w:cs="ËÎÌå"/>
          <w:b/>
          <w:kern w:val="0"/>
          <w:szCs w:val="21"/>
        </w:rPr>
        <w:t>1</w:t>
      </w:r>
      <w:r>
        <w:rPr>
          <w:rFonts w:hint="eastAsia" w:ascii="黑体" w:hAnsi="黑体" w:cs="ËÎÌå"/>
          <w:b/>
          <w:kern w:val="0"/>
          <w:szCs w:val="21"/>
        </w:rPr>
        <w:t>、</w:t>
      </w:r>
      <w:r>
        <w:rPr>
          <w:rFonts w:hint="eastAsia" w:ascii="黑体" w:hAnsi="黑体" w:cs="宋体"/>
          <w:b/>
          <w:kern w:val="0"/>
          <w:szCs w:val="21"/>
        </w:rPr>
        <w:t>正常兑付</w:t>
      </w:r>
    </w:p>
    <w:p w14:paraId="6BB15B53">
      <w:pPr>
        <w:pStyle w:val="14"/>
      </w:pPr>
      <w:r>
        <w:t>投资者持有产品至产品到期日，投资者的理财产品投资本金（如有）和收益（如有）在产品到期后一次性支付。投资者理财产品投资本金（如有）和收益（如有）将于产品到期日后3个工作日内划转至投资者指定账户，如遇法定节假日或公休日则顺延。产品到期日至资金实际到账日之间，投资者资金不计息。</w:t>
      </w:r>
    </w:p>
    <w:p w14:paraId="76CD6D81">
      <w:pPr>
        <w:autoSpaceDE w:val="0"/>
        <w:autoSpaceDN w:val="0"/>
        <w:adjustRightInd w:val="0"/>
        <w:ind w:firstLine="422" w:firstLineChars="200"/>
        <w:jc w:val="left"/>
        <w:rPr>
          <w:rFonts w:ascii="黑体" w:hAnsi="黑体" w:cs="宋体"/>
          <w:b/>
          <w:kern w:val="0"/>
          <w:szCs w:val="21"/>
        </w:rPr>
      </w:pPr>
      <w:r>
        <w:rPr>
          <w:rFonts w:ascii="黑体" w:hAnsi="黑体" w:cs="宋体"/>
          <w:b/>
          <w:kern w:val="0"/>
          <w:szCs w:val="21"/>
        </w:rPr>
        <w:t>2、提前终止</w:t>
      </w:r>
    </w:p>
    <w:p w14:paraId="093291A6">
      <w:pPr>
        <w:pStyle w:val="14"/>
      </w:pPr>
      <w:r>
        <w:t>在本产品存续期内，如遇包括但不限于国家金融政策发生重大调整、金融市场发生重大波动、不可抗力</w:t>
      </w:r>
      <w:r>
        <w:rPr>
          <w:rFonts w:hint="eastAsia" w:cs="黑体"/>
        </w:rPr>
        <w:t>、产品存续规模低于产品最低成立规模</w:t>
      </w:r>
      <w:r>
        <w:t>或产品管理人认为</w:t>
      </w:r>
      <w:r>
        <w:rPr>
          <w:rFonts w:hint="eastAsia"/>
        </w:rPr>
        <w:t>影响产品运作</w:t>
      </w:r>
      <w:r>
        <w:t>需要提前终止产品的其他情况，产品管理人有权提前终止产品，并至少于提前终止日前3个工作日进行公告，相关兑付安排规则将在公告中披露。</w:t>
      </w:r>
    </w:p>
    <w:p w14:paraId="280F6617">
      <w:pPr>
        <w:autoSpaceDE w:val="0"/>
        <w:autoSpaceDN w:val="0"/>
        <w:adjustRightInd w:val="0"/>
        <w:ind w:firstLine="422" w:firstLineChars="200"/>
        <w:jc w:val="left"/>
        <w:rPr>
          <w:rFonts w:ascii="黑体" w:hAnsi="黑体"/>
          <w:b/>
          <w:kern w:val="0"/>
        </w:rPr>
      </w:pPr>
      <w:r>
        <w:rPr>
          <w:rFonts w:ascii="黑体" w:hAnsi="黑体"/>
          <w:b/>
          <w:kern w:val="0"/>
        </w:rPr>
        <w:t>3、其他情况</w:t>
      </w:r>
    </w:p>
    <w:p w14:paraId="2149A305">
      <w:pPr>
        <w:pStyle w:val="15"/>
      </w:pPr>
      <w:r>
        <w:t>如果发生国家金融政策发生重大调整、流动性紧张、市场环境变化或不可抗力等特殊情形，造成本产品持有的基础资产无法及时、足额变现，产品管理人可以根据实际情况选择向投资者延迟兑付或者分次兑付，并于发生上述情形后的2个工作日内公告兑付方案。</w:t>
      </w:r>
    </w:p>
    <w:bookmarkEnd w:id="5"/>
    <w:bookmarkEnd w:id="6"/>
    <w:p w14:paraId="1F89EC1F">
      <w:pPr>
        <w:autoSpaceDE w:val="0"/>
        <w:autoSpaceDN w:val="0"/>
        <w:adjustRightInd w:val="0"/>
        <w:ind w:firstLine="420" w:firstLineChars="200"/>
        <w:jc w:val="left"/>
        <w:rPr>
          <w:rFonts w:ascii="黑体" w:hAnsi="黑体" w:cs="黑体"/>
          <w:kern w:val="0"/>
          <w:szCs w:val="21"/>
        </w:rPr>
      </w:pPr>
    </w:p>
    <w:p w14:paraId="31DB6172">
      <w:pPr>
        <w:autoSpaceDE w:val="0"/>
        <w:autoSpaceDN w:val="0"/>
        <w:adjustRightInd w:val="0"/>
        <w:jc w:val="left"/>
        <w:rPr>
          <w:rFonts w:ascii="黑体" w:hAnsi="黑体" w:cs="宋体"/>
          <w:b/>
          <w:kern w:val="0"/>
          <w:szCs w:val="21"/>
        </w:rPr>
      </w:pPr>
      <w:r>
        <w:rPr>
          <w:rFonts w:hint="eastAsia" w:ascii="黑体" w:hAnsi="黑体" w:cs="宋体"/>
          <w:b/>
          <w:kern w:val="0"/>
          <w:szCs w:val="21"/>
        </w:rPr>
        <w:t>八、托管机构和销售机构</w:t>
      </w:r>
    </w:p>
    <w:p w14:paraId="072CC3DE">
      <w:pPr>
        <w:autoSpaceDE w:val="0"/>
        <w:autoSpaceDN w:val="0"/>
        <w:adjustRightInd w:val="0"/>
        <w:jc w:val="left"/>
        <w:rPr>
          <w:rFonts w:ascii="黑体" w:hAnsi="黑体" w:cs="宋体"/>
          <w:bCs/>
          <w:kern w:val="0"/>
          <w:szCs w:val="21"/>
        </w:rPr>
      </w:pPr>
      <w:r>
        <w:rPr>
          <w:rFonts w:hint="eastAsia" w:ascii="黑体" w:hAnsi="黑体" w:cs="宋体"/>
          <w:bCs/>
          <w:kern w:val="0"/>
          <w:szCs w:val="21"/>
        </w:rPr>
        <w:t>（一）托管机构基本</w:t>
      </w:r>
      <w:r>
        <w:rPr>
          <w:rFonts w:ascii="黑体" w:hAnsi="黑体" w:cs="宋体"/>
          <w:bCs/>
          <w:kern w:val="0"/>
          <w:szCs w:val="21"/>
        </w:rPr>
        <w:t>信息</w:t>
      </w:r>
    </w:p>
    <w:p w14:paraId="4985634F">
      <w:pPr>
        <w:autoSpaceDE w:val="0"/>
        <w:autoSpaceDN w:val="0"/>
        <w:adjustRightInd w:val="0"/>
        <w:ind w:firstLine="420" w:firstLineChars="200"/>
        <w:jc w:val="left"/>
        <w:rPr>
          <w:rFonts w:ascii="黑体" w:hAnsi="黑体" w:cs="宋体"/>
          <w:kern w:val="0"/>
          <w:szCs w:val="21"/>
        </w:rPr>
      </w:pPr>
      <w:r>
        <w:rPr>
          <w:rFonts w:hint="eastAsia" w:ascii="黑体" w:hAnsi="黑体" w:cs="宋体"/>
          <w:kern w:val="0"/>
          <w:szCs w:val="21"/>
        </w:rPr>
        <w:t>1、机构名称：宁波银行股份有限公司</w:t>
      </w:r>
    </w:p>
    <w:p w14:paraId="398ABAA4">
      <w:pPr>
        <w:autoSpaceDE w:val="0"/>
        <w:autoSpaceDN w:val="0"/>
        <w:adjustRightInd w:val="0"/>
        <w:ind w:firstLine="420" w:firstLineChars="200"/>
        <w:jc w:val="left"/>
        <w:rPr>
          <w:rFonts w:ascii="黑体" w:hAnsi="黑体" w:cs="宋体"/>
          <w:kern w:val="0"/>
          <w:szCs w:val="21"/>
        </w:rPr>
      </w:pPr>
      <w:r>
        <w:rPr>
          <w:rFonts w:hint="eastAsia" w:ascii="黑体" w:hAnsi="黑体" w:cs="宋体"/>
          <w:kern w:val="0"/>
          <w:szCs w:val="21"/>
        </w:rPr>
        <w:t xml:space="preserve">   客服热线：95574</w:t>
      </w:r>
    </w:p>
    <w:p w14:paraId="1B78CA21">
      <w:pPr>
        <w:autoSpaceDE w:val="0"/>
        <w:autoSpaceDN w:val="0"/>
        <w:adjustRightInd w:val="0"/>
        <w:ind w:firstLine="420" w:firstLineChars="200"/>
        <w:jc w:val="left"/>
        <w:rPr>
          <w:rFonts w:ascii="Calibri" w:hAnsi="Calibri" w:cs="Calibri"/>
          <w:kern w:val="0"/>
          <w:szCs w:val="21"/>
        </w:rPr>
      </w:pPr>
      <w:r>
        <w:rPr>
          <w:rFonts w:hint="eastAsia" w:ascii="黑体" w:hAnsi="黑体" w:cs="宋体"/>
          <w:kern w:val="0"/>
          <w:szCs w:val="21"/>
        </w:rPr>
        <w:t xml:space="preserve">   官方网站：www.nbcb.com.cn</w:t>
      </w:r>
    </w:p>
    <w:p w14:paraId="308DA6D2">
      <w:pPr>
        <w:autoSpaceDE w:val="0"/>
        <w:autoSpaceDN w:val="0"/>
        <w:adjustRightInd w:val="0"/>
        <w:ind w:firstLine="420" w:firstLineChars="200"/>
        <w:jc w:val="left"/>
        <w:rPr>
          <w:rFonts w:ascii="黑体" w:hAnsi="黑体" w:cs="宋体"/>
          <w:bCs/>
          <w:kern w:val="0"/>
          <w:szCs w:val="21"/>
        </w:rPr>
      </w:pPr>
      <w:r>
        <w:rPr>
          <w:rFonts w:hint="eastAsia" w:ascii="黑体" w:hAnsi="黑体" w:cs="宋体"/>
          <w:bCs/>
          <w:kern w:val="0"/>
          <w:szCs w:val="21"/>
        </w:rPr>
        <w:t>托管机构主要职责：</w:t>
      </w:r>
    </w:p>
    <w:p w14:paraId="7DCED5DB">
      <w:pPr>
        <w:autoSpaceDE w:val="0"/>
        <w:autoSpaceDN w:val="0"/>
        <w:adjustRightInd w:val="0"/>
        <w:ind w:firstLine="420" w:firstLineChars="200"/>
        <w:jc w:val="left"/>
        <w:rPr>
          <w:rFonts w:ascii="黑体" w:hAnsi="黑体" w:cs="宋体"/>
          <w:kern w:val="0"/>
          <w:szCs w:val="21"/>
        </w:rPr>
      </w:pPr>
      <w:r>
        <w:rPr>
          <w:rFonts w:hint="eastAsia" w:ascii="黑体" w:hAnsi="黑体" w:cs="宋体"/>
          <w:kern w:val="0"/>
          <w:szCs w:val="21"/>
        </w:rPr>
        <w:t>1、安全托管理财资金及其所投资的资产或保管代表资产的权益凭证或财产清单；</w:t>
      </w:r>
    </w:p>
    <w:p w14:paraId="5F9EB51C">
      <w:pPr>
        <w:autoSpaceDE w:val="0"/>
        <w:autoSpaceDN w:val="0"/>
        <w:adjustRightInd w:val="0"/>
        <w:ind w:firstLine="420" w:firstLineChars="200"/>
        <w:jc w:val="left"/>
        <w:rPr>
          <w:rFonts w:ascii="黑体" w:hAnsi="黑体" w:cs="宋体"/>
          <w:kern w:val="0"/>
          <w:szCs w:val="21"/>
        </w:rPr>
      </w:pPr>
      <w:r>
        <w:rPr>
          <w:rFonts w:hint="eastAsia" w:ascii="黑体" w:hAnsi="黑体" w:cs="宋体"/>
          <w:kern w:val="0"/>
          <w:szCs w:val="21"/>
        </w:rPr>
        <w:t>2、为本产品开设独立的托管账户，不同托管账户中的资产应当相互独立；</w:t>
      </w:r>
    </w:p>
    <w:p w14:paraId="58F70952">
      <w:pPr>
        <w:autoSpaceDE w:val="0"/>
        <w:autoSpaceDN w:val="0"/>
        <w:adjustRightInd w:val="0"/>
        <w:ind w:firstLine="420" w:firstLineChars="200"/>
        <w:jc w:val="left"/>
        <w:rPr>
          <w:rFonts w:ascii="黑体" w:hAnsi="黑体" w:cs="宋体"/>
          <w:kern w:val="0"/>
          <w:szCs w:val="21"/>
        </w:rPr>
      </w:pPr>
      <w:r>
        <w:rPr>
          <w:rFonts w:hint="eastAsia" w:ascii="黑体" w:hAnsi="黑体" w:cs="宋体"/>
          <w:kern w:val="0"/>
          <w:szCs w:val="21"/>
        </w:rPr>
        <w:t>3、按照托管协议约定和产品管理人的投资指令，及时办理清算、交割事宜；</w:t>
      </w:r>
    </w:p>
    <w:p w14:paraId="1AC0CD27">
      <w:pPr>
        <w:autoSpaceDE w:val="0"/>
        <w:autoSpaceDN w:val="0"/>
        <w:adjustRightInd w:val="0"/>
        <w:ind w:firstLine="420" w:firstLineChars="200"/>
        <w:jc w:val="left"/>
        <w:rPr>
          <w:rFonts w:ascii="黑体" w:hAnsi="黑体" w:cs="宋体"/>
          <w:kern w:val="0"/>
          <w:szCs w:val="21"/>
        </w:rPr>
      </w:pPr>
      <w:r>
        <w:rPr>
          <w:rFonts w:hint="eastAsia" w:ascii="黑体" w:hAnsi="黑体" w:cs="宋体"/>
          <w:kern w:val="0"/>
          <w:szCs w:val="21"/>
        </w:rPr>
        <w:t>4、记录理财资金划拨情况，保存产品管理人的资金用途说明；</w:t>
      </w:r>
    </w:p>
    <w:p w14:paraId="39A7A980">
      <w:pPr>
        <w:autoSpaceDE w:val="0"/>
        <w:autoSpaceDN w:val="0"/>
        <w:adjustRightInd w:val="0"/>
        <w:ind w:firstLine="420" w:firstLineChars="200"/>
        <w:jc w:val="left"/>
        <w:rPr>
          <w:rFonts w:ascii="黑体" w:hAnsi="黑体" w:cs="宋体"/>
          <w:kern w:val="0"/>
          <w:szCs w:val="21"/>
        </w:rPr>
      </w:pPr>
      <w:r>
        <w:rPr>
          <w:rFonts w:hint="eastAsia" w:ascii="黑体" w:hAnsi="黑体" w:cs="宋体"/>
          <w:kern w:val="0"/>
          <w:szCs w:val="21"/>
        </w:rPr>
        <w:t>5、负责本产品财产的会计核算；</w:t>
      </w:r>
    </w:p>
    <w:p w14:paraId="2FB2754D">
      <w:pPr>
        <w:autoSpaceDE w:val="0"/>
        <w:autoSpaceDN w:val="0"/>
        <w:adjustRightInd w:val="0"/>
        <w:ind w:firstLine="420" w:firstLineChars="200"/>
        <w:jc w:val="left"/>
        <w:rPr>
          <w:rFonts w:ascii="黑体" w:hAnsi="黑体" w:cs="宋体"/>
          <w:kern w:val="0"/>
          <w:szCs w:val="21"/>
        </w:rPr>
      </w:pPr>
      <w:r>
        <w:rPr>
          <w:rFonts w:ascii="黑体" w:hAnsi="黑体" w:cs="宋体"/>
          <w:kern w:val="0"/>
          <w:szCs w:val="21"/>
        </w:rPr>
        <w:t>6</w:t>
      </w:r>
      <w:r>
        <w:rPr>
          <w:rFonts w:hint="eastAsia" w:ascii="黑体" w:hAnsi="黑体" w:cs="宋体"/>
          <w:kern w:val="0"/>
          <w:szCs w:val="21"/>
        </w:rPr>
        <w:t>、建立与产品管理人的对账机制，核对本产品财产交易记录、资金和财产账目、资产净值等数据；</w:t>
      </w:r>
    </w:p>
    <w:p w14:paraId="0BFB50BB">
      <w:pPr>
        <w:autoSpaceDE w:val="0"/>
        <w:autoSpaceDN w:val="0"/>
        <w:adjustRightInd w:val="0"/>
        <w:ind w:firstLine="420" w:firstLineChars="200"/>
        <w:jc w:val="left"/>
        <w:rPr>
          <w:rFonts w:ascii="黑体" w:hAnsi="黑体" w:cs="宋体"/>
          <w:kern w:val="0"/>
          <w:szCs w:val="21"/>
        </w:rPr>
      </w:pPr>
      <w:r>
        <w:rPr>
          <w:rFonts w:ascii="黑体" w:hAnsi="黑体" w:cs="宋体"/>
          <w:kern w:val="0"/>
          <w:szCs w:val="21"/>
        </w:rPr>
        <w:t>7</w:t>
      </w:r>
      <w:r>
        <w:rPr>
          <w:rFonts w:hint="eastAsia" w:ascii="黑体" w:hAnsi="黑体" w:cs="宋体"/>
          <w:kern w:val="0"/>
          <w:szCs w:val="21"/>
        </w:rPr>
        <w:t>、监督本产品投资运作；</w:t>
      </w:r>
    </w:p>
    <w:p w14:paraId="7B9CDE98">
      <w:pPr>
        <w:autoSpaceDE w:val="0"/>
        <w:autoSpaceDN w:val="0"/>
        <w:adjustRightInd w:val="0"/>
        <w:ind w:firstLine="420" w:firstLineChars="200"/>
        <w:jc w:val="left"/>
        <w:rPr>
          <w:rFonts w:ascii="黑体" w:hAnsi="黑体" w:cs="宋体"/>
          <w:kern w:val="0"/>
          <w:szCs w:val="21"/>
        </w:rPr>
      </w:pPr>
      <w:r>
        <w:rPr>
          <w:rFonts w:ascii="黑体" w:hAnsi="黑体" w:cs="宋体"/>
          <w:kern w:val="0"/>
          <w:szCs w:val="21"/>
        </w:rPr>
        <w:t>8</w:t>
      </w:r>
      <w:r>
        <w:rPr>
          <w:rFonts w:hint="eastAsia" w:ascii="黑体" w:hAnsi="黑体" w:cs="宋体"/>
          <w:kern w:val="0"/>
          <w:szCs w:val="21"/>
        </w:rPr>
        <w:t>、办理与本产品托管业务活动相关的信息披露事项；</w:t>
      </w:r>
    </w:p>
    <w:p w14:paraId="5F09D716">
      <w:pPr>
        <w:autoSpaceDE w:val="0"/>
        <w:autoSpaceDN w:val="0"/>
        <w:adjustRightInd w:val="0"/>
        <w:ind w:firstLine="420" w:firstLineChars="200"/>
        <w:jc w:val="left"/>
        <w:rPr>
          <w:rFonts w:ascii="黑体" w:hAnsi="黑体" w:cs="宋体"/>
          <w:kern w:val="0"/>
          <w:szCs w:val="21"/>
        </w:rPr>
      </w:pPr>
      <w:r>
        <w:rPr>
          <w:rFonts w:ascii="黑体" w:hAnsi="黑体" w:cs="宋体"/>
          <w:kern w:val="0"/>
          <w:szCs w:val="21"/>
        </w:rPr>
        <w:t>9</w:t>
      </w:r>
      <w:r>
        <w:rPr>
          <w:rFonts w:hint="eastAsia" w:ascii="黑体" w:hAnsi="黑体" w:cs="宋体"/>
          <w:kern w:val="0"/>
          <w:szCs w:val="21"/>
        </w:rPr>
        <w:t>、将本产</w:t>
      </w:r>
      <w:r>
        <w:rPr>
          <w:rFonts w:ascii="黑体" w:hAnsi="黑体" w:cs="宋体"/>
          <w:kern w:val="0"/>
          <w:szCs w:val="21"/>
        </w:rPr>
        <w:t>品</w:t>
      </w:r>
      <w:r>
        <w:rPr>
          <w:rFonts w:hint="eastAsia" w:ascii="黑体" w:hAnsi="黑体" w:cs="宋体"/>
          <w:kern w:val="0"/>
          <w:szCs w:val="21"/>
        </w:rPr>
        <w:t>托管业务活动的记录、账册、报表和其他相关资料保存15年以上；</w:t>
      </w:r>
    </w:p>
    <w:p w14:paraId="6AB3F98B">
      <w:pPr>
        <w:autoSpaceDE w:val="0"/>
        <w:autoSpaceDN w:val="0"/>
        <w:adjustRightInd w:val="0"/>
        <w:ind w:firstLine="420" w:firstLineChars="200"/>
        <w:jc w:val="left"/>
        <w:rPr>
          <w:rFonts w:ascii="黑体" w:hAnsi="黑体" w:cs="宋体"/>
          <w:kern w:val="0"/>
          <w:szCs w:val="21"/>
        </w:rPr>
      </w:pPr>
      <w:r>
        <w:rPr>
          <w:rFonts w:ascii="黑体" w:hAnsi="黑体" w:cs="宋体"/>
          <w:kern w:val="0"/>
          <w:szCs w:val="21"/>
        </w:rPr>
        <w:t>10</w:t>
      </w:r>
      <w:r>
        <w:rPr>
          <w:rFonts w:hint="eastAsia" w:ascii="黑体" w:hAnsi="黑体" w:cs="宋体"/>
          <w:kern w:val="0"/>
          <w:szCs w:val="21"/>
        </w:rPr>
        <w:t>、对本产品投资信息和相关资料承担保密责任，除法律、行政法规、规章规定、审计要求或者合同约定外，不得向任何机构或者个人提供相关信息和资料；</w:t>
      </w:r>
    </w:p>
    <w:p w14:paraId="0948E64E">
      <w:pPr>
        <w:autoSpaceDE w:val="0"/>
        <w:autoSpaceDN w:val="0"/>
        <w:adjustRightInd w:val="0"/>
        <w:ind w:firstLine="420" w:firstLineChars="200"/>
        <w:jc w:val="left"/>
        <w:rPr>
          <w:rFonts w:ascii="黑体" w:hAnsi="黑体" w:cs="宋体"/>
          <w:kern w:val="0"/>
          <w:szCs w:val="21"/>
        </w:rPr>
      </w:pPr>
      <w:r>
        <w:rPr>
          <w:rFonts w:hint="eastAsia" w:ascii="黑体" w:hAnsi="黑体" w:cs="宋体"/>
          <w:kern w:val="0"/>
          <w:szCs w:val="21"/>
        </w:rPr>
        <w:t>1</w:t>
      </w:r>
      <w:r>
        <w:rPr>
          <w:rFonts w:ascii="黑体" w:hAnsi="黑体" w:cs="宋体"/>
          <w:kern w:val="0"/>
          <w:szCs w:val="21"/>
        </w:rPr>
        <w:t>1</w:t>
      </w:r>
      <w:r>
        <w:rPr>
          <w:rFonts w:hint="eastAsia" w:ascii="黑体" w:hAnsi="黑体" w:cs="宋体"/>
          <w:kern w:val="0"/>
          <w:szCs w:val="21"/>
        </w:rPr>
        <w:t>、每季度向产品管理人出具本产品的托管业务报告；</w:t>
      </w:r>
    </w:p>
    <w:p w14:paraId="298F7E1F">
      <w:pPr>
        <w:autoSpaceDE w:val="0"/>
        <w:autoSpaceDN w:val="0"/>
        <w:adjustRightInd w:val="0"/>
        <w:ind w:firstLine="420" w:firstLineChars="200"/>
        <w:jc w:val="left"/>
        <w:rPr>
          <w:rFonts w:ascii="黑体" w:hAnsi="黑体" w:cs="宋体"/>
          <w:kern w:val="0"/>
          <w:szCs w:val="21"/>
        </w:rPr>
      </w:pPr>
      <w:r>
        <w:rPr>
          <w:rFonts w:ascii="黑体" w:hAnsi="黑体" w:cs="宋体"/>
          <w:kern w:val="0"/>
          <w:szCs w:val="21"/>
        </w:rPr>
        <w:t>12</w:t>
      </w:r>
      <w:r>
        <w:rPr>
          <w:rFonts w:hint="eastAsia" w:ascii="黑体" w:hAnsi="黑体" w:cs="宋体"/>
          <w:kern w:val="0"/>
          <w:szCs w:val="21"/>
        </w:rPr>
        <w:t>、法律</w:t>
      </w:r>
      <w:r>
        <w:rPr>
          <w:rFonts w:ascii="黑体" w:hAnsi="黑体" w:cs="宋体"/>
          <w:kern w:val="0"/>
          <w:szCs w:val="21"/>
        </w:rPr>
        <w:t>、法规、</w:t>
      </w:r>
      <w:r>
        <w:rPr>
          <w:rFonts w:hint="eastAsia" w:ascii="黑体" w:hAnsi="黑体" w:cs="宋体"/>
          <w:kern w:val="0"/>
          <w:szCs w:val="21"/>
        </w:rPr>
        <w:t>国务院银行业监督管理机构规定的其他职责。</w:t>
      </w:r>
    </w:p>
    <w:p w14:paraId="1FE793E7">
      <w:pPr>
        <w:autoSpaceDE w:val="0"/>
        <w:autoSpaceDN w:val="0"/>
        <w:adjustRightInd w:val="0"/>
        <w:jc w:val="left"/>
        <w:rPr>
          <w:rFonts w:ascii="黑体" w:hAnsi="黑体" w:cs="宋体"/>
          <w:bCs/>
          <w:kern w:val="0"/>
          <w:szCs w:val="21"/>
        </w:rPr>
      </w:pPr>
      <w:r>
        <w:rPr>
          <w:rFonts w:hint="eastAsia" w:ascii="黑体" w:hAnsi="黑体" w:cs="宋体"/>
          <w:bCs/>
          <w:kern w:val="0"/>
          <w:szCs w:val="21"/>
        </w:rPr>
        <w:t>（二）销售机构基本信息</w:t>
      </w:r>
    </w:p>
    <w:p w14:paraId="09A6C568">
      <w:pPr>
        <w:pStyle w:val="15"/>
        <w:ind w:left="840" w:leftChars="200" w:hanging="420" w:hangingChars="200"/>
        <w:rPr>
          <w:rFonts w:hint="eastAsia" w:eastAsia="黑体"/>
          <w:lang w:eastAsia="zh-CN"/>
        </w:rPr>
      </w:pPr>
      <w:r>
        <w:t>1、机构名称：宁波银行股份有限公司</w:t>
      </w:r>
    </w:p>
    <w:p w14:paraId="3C9C2FBD">
      <w:pPr>
        <w:pStyle w:val="15"/>
        <w:ind w:left="840" w:leftChars="200" w:hanging="420" w:hangingChars="200"/>
        <w:rPr>
          <w:rFonts w:hint="eastAsia" w:eastAsia="黑体"/>
          <w:lang w:eastAsia="zh-CN"/>
        </w:rPr>
      </w:pPr>
      <w:r>
        <w:t>客服热线：95574</w:t>
      </w:r>
    </w:p>
    <w:p w14:paraId="2528287A">
      <w:pPr>
        <w:pStyle w:val="15"/>
        <w:ind w:left="840" w:leftChars="200" w:hanging="420" w:hangingChars="200"/>
        <w:rPr>
          <w:u w:val="single"/>
        </w:rPr>
      </w:pPr>
      <w:r>
        <w:t>官方网站：www.nbcb.com.cn</w:t>
      </w:r>
    </w:p>
    <w:p w14:paraId="151B1A34">
      <w:pPr>
        <w:pStyle w:val="15"/>
        <w:numPr>
          <w:ilvl w:val="0"/>
          <w:numId w:val="0"/>
        </w:numPr>
        <w:ind w:left="420" w:leftChars="0"/>
        <w:rPr>
          <w:rFonts w:hint="eastAsia"/>
          <w:lang w:val="en-US" w:eastAsia="zh-CN"/>
        </w:rPr>
      </w:pPr>
      <w:r>
        <w:rPr>
          <w:rFonts w:hint="eastAsia"/>
          <w:lang w:val="en-US" w:eastAsia="zh-CN"/>
        </w:rPr>
        <w:t>2、机构名称：宁银理财有限责任公司</w:t>
      </w:r>
    </w:p>
    <w:p w14:paraId="79E18262">
      <w:pPr>
        <w:pStyle w:val="15"/>
        <w:numPr>
          <w:ilvl w:val="0"/>
          <w:numId w:val="0"/>
        </w:numPr>
        <w:ind w:left="420" w:leftChars="0"/>
        <w:rPr>
          <w:rFonts w:hint="eastAsia"/>
          <w:lang w:val="en-US" w:eastAsia="zh-CN"/>
        </w:rPr>
      </w:pPr>
      <w:r>
        <w:rPr>
          <w:rFonts w:hint="eastAsia"/>
          <w:lang w:val="en-US" w:eastAsia="zh-CN"/>
        </w:rPr>
        <w:t>客服热线：400-099-5574</w:t>
      </w:r>
    </w:p>
    <w:p w14:paraId="102A18A0">
      <w:pPr>
        <w:pStyle w:val="15"/>
        <w:numPr>
          <w:ilvl w:val="0"/>
          <w:numId w:val="0"/>
        </w:numPr>
        <w:ind w:left="420" w:leftChars="0"/>
        <w:rPr>
          <w:rFonts w:hint="eastAsia"/>
          <w:color w:val="auto"/>
          <w:u w:val="none"/>
          <w:lang w:val="en-US" w:eastAsia="zh-CN"/>
        </w:rPr>
      </w:pPr>
      <w:r>
        <w:rPr>
          <w:rFonts w:hint="eastAsia"/>
          <w:lang w:val="en-US" w:eastAsia="zh-CN"/>
        </w:rPr>
        <w:t>官方网站：www.wmbnb.com</w:t>
      </w:r>
    </w:p>
    <w:p w14:paraId="54C66825">
      <w:pPr>
        <w:pStyle w:val="15"/>
        <w:numPr>
          <w:ilvl w:val="0"/>
          <w:numId w:val="0"/>
        </w:numPr>
        <w:ind w:left="420" w:leftChars="0"/>
        <w:rPr>
          <w:rFonts w:hint="eastAsia"/>
        </w:rPr>
      </w:pPr>
      <w:r>
        <w:rPr>
          <w:rFonts w:hint="eastAsia"/>
          <w:lang w:val="en-US" w:eastAsia="zh-CN"/>
        </w:rPr>
        <w:t>3、</w:t>
      </w:r>
      <w:r>
        <w:t>机构名称：</w:t>
      </w:r>
      <w:r>
        <w:rPr>
          <w:rFonts w:hint="eastAsia"/>
          <w:lang w:val="en-US" w:eastAsia="zh-CN"/>
        </w:rPr>
        <w:t>绍兴</w:t>
      </w:r>
      <w:r>
        <w:rPr>
          <w:rFonts w:hint="eastAsia"/>
        </w:rPr>
        <w:t>银行股份有限公司</w:t>
      </w:r>
    </w:p>
    <w:p w14:paraId="0F2F52C9">
      <w:pPr>
        <w:pStyle w:val="15"/>
        <w:numPr>
          <w:ilvl w:val="0"/>
          <w:numId w:val="0"/>
        </w:numPr>
        <w:ind w:left="420" w:leftChars="0"/>
        <w:rPr>
          <w:rFonts w:hint="eastAsia" w:eastAsia="黑体"/>
          <w:lang w:eastAsia="zh-CN"/>
        </w:rPr>
      </w:pPr>
      <w:r>
        <w:t>客服热线：</w:t>
      </w:r>
      <w:r>
        <w:rPr>
          <w:rFonts w:hint="eastAsia"/>
        </w:rPr>
        <w:t>0575-96528</w:t>
      </w:r>
    </w:p>
    <w:p w14:paraId="719039DA">
      <w:pPr>
        <w:pStyle w:val="15"/>
        <w:numPr>
          <w:ilvl w:val="0"/>
          <w:numId w:val="0"/>
        </w:numPr>
        <w:ind w:left="420" w:leftChars="0"/>
        <w:rPr>
          <w:rFonts w:hint="eastAsia"/>
          <w:color w:val="auto"/>
          <w:u w:val="none"/>
        </w:rPr>
      </w:pPr>
      <w:r>
        <w:t>官方网站：</w:t>
      </w:r>
      <w:r>
        <w:rPr>
          <w:rFonts w:hint="eastAsia"/>
          <w:color w:val="auto"/>
          <w:u w:val="none"/>
        </w:rPr>
        <w:t>www.sxccb.com</w:t>
      </w:r>
    </w:p>
    <w:p w14:paraId="0068898A">
      <w:pPr>
        <w:pStyle w:val="15"/>
        <w:numPr>
          <w:ilvl w:val="0"/>
          <w:numId w:val="0"/>
        </w:numPr>
        <w:ind w:left="420" w:leftChars="0"/>
        <w:rPr>
          <w:rFonts w:hint="eastAsia"/>
        </w:rPr>
      </w:pPr>
      <w:r>
        <w:rPr>
          <w:rFonts w:hint="eastAsia"/>
          <w:color w:val="auto"/>
          <w:u w:val="none"/>
          <w:lang w:val="en-US" w:eastAsia="zh-CN"/>
        </w:rPr>
        <w:t>4、</w:t>
      </w:r>
      <w:r>
        <w:t>机构名称：</w:t>
      </w:r>
      <w:r>
        <w:rPr>
          <w:rFonts w:hint="eastAsia"/>
          <w:lang w:val="en-US" w:eastAsia="zh-CN"/>
        </w:rPr>
        <w:t>江苏常熟农村商业银行股份有限公司</w:t>
      </w:r>
    </w:p>
    <w:p w14:paraId="05DD4FE5">
      <w:pPr>
        <w:pStyle w:val="15"/>
        <w:numPr>
          <w:ilvl w:val="0"/>
          <w:numId w:val="0"/>
        </w:numPr>
        <w:ind w:left="420" w:leftChars="0"/>
        <w:rPr>
          <w:rFonts w:hint="eastAsia" w:eastAsia="黑体"/>
          <w:lang w:eastAsia="zh-CN"/>
        </w:rPr>
      </w:pPr>
      <w:r>
        <w:t>客服热线：</w:t>
      </w:r>
      <w:r>
        <w:rPr>
          <w:rFonts w:hint="eastAsia"/>
        </w:rPr>
        <w:t>956020</w:t>
      </w:r>
    </w:p>
    <w:p w14:paraId="578748A1">
      <w:pPr>
        <w:pStyle w:val="15"/>
        <w:numPr>
          <w:ilvl w:val="0"/>
          <w:numId w:val="0"/>
        </w:numPr>
        <w:ind w:left="420" w:leftChars="0"/>
        <w:rPr>
          <w:rFonts w:hint="eastAsia"/>
          <w:color w:val="auto"/>
          <w:u w:val="none"/>
        </w:rPr>
      </w:pPr>
      <w:r>
        <w:t>官方网站：</w:t>
      </w:r>
      <w:r>
        <w:rPr>
          <w:rFonts w:hint="eastAsia"/>
          <w:color w:val="auto"/>
          <w:u w:val="none"/>
        </w:rPr>
        <w:t>www.csrcbank.com</w:t>
      </w:r>
    </w:p>
    <w:p w14:paraId="081E3520">
      <w:pPr>
        <w:pStyle w:val="15"/>
        <w:numPr>
          <w:ilvl w:val="0"/>
          <w:numId w:val="0"/>
        </w:numPr>
        <w:ind w:left="420" w:leftChars="0"/>
        <w:rPr>
          <w:rFonts w:hint="eastAsia"/>
        </w:rPr>
      </w:pPr>
      <w:r>
        <w:rPr>
          <w:rFonts w:hint="eastAsia"/>
          <w:lang w:val="en-US" w:eastAsia="zh-CN"/>
        </w:rPr>
        <w:t>5、</w:t>
      </w:r>
      <w:r>
        <w:t>机构名称：</w:t>
      </w:r>
      <w:r>
        <w:rPr>
          <w:rFonts w:hint="eastAsia"/>
          <w:lang w:val="en-US" w:eastAsia="zh-CN"/>
        </w:rPr>
        <w:t>桂林</w:t>
      </w:r>
      <w:r>
        <w:rPr>
          <w:rFonts w:hint="eastAsia"/>
        </w:rPr>
        <w:t>银行股份有限公司</w:t>
      </w:r>
    </w:p>
    <w:p w14:paraId="77B7ACA6">
      <w:pPr>
        <w:pStyle w:val="15"/>
        <w:numPr>
          <w:ilvl w:val="0"/>
          <w:numId w:val="0"/>
        </w:numPr>
        <w:ind w:left="420" w:leftChars="0"/>
        <w:rPr>
          <w:rFonts w:hint="eastAsia" w:eastAsia="黑体"/>
          <w:lang w:eastAsia="zh-CN"/>
        </w:rPr>
      </w:pPr>
      <w:r>
        <w:t>客服热线：</w:t>
      </w:r>
      <w:r>
        <w:rPr>
          <w:rFonts w:hint="eastAsia"/>
        </w:rPr>
        <w:t>400-86-96299</w:t>
      </w:r>
    </w:p>
    <w:p w14:paraId="6C020BB8">
      <w:pPr>
        <w:pStyle w:val="15"/>
        <w:numPr>
          <w:ilvl w:val="0"/>
          <w:numId w:val="0"/>
        </w:numPr>
        <w:ind w:left="420" w:leftChars="0"/>
        <w:rPr>
          <w:rFonts w:hint="eastAsia"/>
          <w:color w:val="auto"/>
          <w:u w:val="none"/>
        </w:rPr>
      </w:pPr>
      <w:r>
        <w:t>官方网站：</w:t>
      </w:r>
      <w:r>
        <w:rPr>
          <w:rFonts w:hint="eastAsia"/>
          <w:color w:val="auto"/>
          <w:u w:val="none"/>
        </w:rPr>
        <w:t>www.guilinbank.com.cn</w:t>
      </w:r>
    </w:p>
    <w:p w14:paraId="6185CF37">
      <w:pPr>
        <w:pStyle w:val="15"/>
        <w:numPr>
          <w:ilvl w:val="0"/>
          <w:numId w:val="0"/>
        </w:numPr>
        <w:ind w:left="420" w:leftChars="0"/>
        <w:rPr>
          <w:rFonts w:hint="eastAsia"/>
          <w:color w:val="auto"/>
          <w:u w:val="none"/>
          <w:lang w:val="en-US" w:eastAsia="zh-CN"/>
        </w:rPr>
      </w:pPr>
      <w:r>
        <w:rPr>
          <w:rFonts w:hint="eastAsia"/>
          <w:color w:val="auto"/>
          <w:u w:val="none"/>
          <w:lang w:val="en-US" w:eastAsia="zh-CN"/>
        </w:rPr>
        <w:t>6、机构名称：威海市商业银行股份有限公司</w:t>
      </w:r>
    </w:p>
    <w:p w14:paraId="77AA3834">
      <w:pPr>
        <w:pStyle w:val="15"/>
        <w:numPr>
          <w:ilvl w:val="0"/>
          <w:numId w:val="0"/>
        </w:numPr>
        <w:ind w:left="420" w:leftChars="0"/>
        <w:rPr>
          <w:rFonts w:hint="eastAsia"/>
          <w:color w:val="auto"/>
          <w:u w:val="none"/>
          <w:lang w:val="en-US" w:eastAsia="zh-CN"/>
        </w:rPr>
      </w:pPr>
      <w:r>
        <w:rPr>
          <w:rFonts w:hint="eastAsia"/>
          <w:color w:val="auto"/>
          <w:u w:val="none"/>
          <w:lang w:val="en-US" w:eastAsia="zh-CN"/>
        </w:rPr>
        <w:t>客服热线：4000096636</w:t>
      </w:r>
    </w:p>
    <w:p w14:paraId="0A76D415">
      <w:pPr>
        <w:pStyle w:val="15"/>
        <w:numPr>
          <w:ilvl w:val="0"/>
          <w:numId w:val="0"/>
        </w:numPr>
        <w:ind w:left="420" w:leftChars="0"/>
        <w:rPr>
          <w:rFonts w:hint="eastAsia" w:eastAsia="黑体"/>
          <w:color w:val="auto"/>
          <w:u w:val="none"/>
          <w:lang w:val="en-US" w:eastAsia="zh-CN"/>
        </w:rPr>
      </w:pPr>
      <w:r>
        <w:rPr>
          <w:rFonts w:hint="eastAsia"/>
          <w:color w:val="auto"/>
          <w:u w:val="none"/>
          <w:lang w:val="en-US" w:eastAsia="zh-CN"/>
        </w:rPr>
        <w:t>官方网站：www.whccb.com</w:t>
      </w:r>
    </w:p>
    <w:p w14:paraId="041FAF8C">
      <w:pPr>
        <w:pStyle w:val="15"/>
        <w:numPr>
          <w:ilvl w:val="0"/>
          <w:numId w:val="0"/>
        </w:numPr>
        <w:ind w:left="420" w:leftChars="0"/>
        <w:rPr>
          <w:rFonts w:hint="eastAsia"/>
          <w:color w:val="auto"/>
          <w:u w:val="none"/>
        </w:rPr>
      </w:pPr>
    </w:p>
    <w:p w14:paraId="2426B1DA">
      <w:pPr>
        <w:pStyle w:val="15"/>
        <w:numPr>
          <w:ilvl w:val="0"/>
          <w:numId w:val="0"/>
        </w:numPr>
        <w:ind w:left="420" w:leftChars="0"/>
        <w:rPr>
          <w:rFonts w:hint="eastAsia" w:eastAsia="黑体"/>
          <w:color w:val="auto"/>
          <w:u w:val="none"/>
          <w:lang w:val="en-US" w:eastAsia="zh-CN"/>
        </w:rPr>
      </w:pPr>
    </w:p>
    <w:p w14:paraId="4763FBAA">
      <w:pPr>
        <w:pStyle w:val="15"/>
        <w:numPr>
          <w:ilvl w:val="0"/>
          <w:numId w:val="0"/>
        </w:numPr>
        <w:rPr>
          <w:rFonts w:hint="eastAsia"/>
        </w:rPr>
      </w:pPr>
    </w:p>
    <w:p w14:paraId="08ABB4E7">
      <w:pPr>
        <w:pStyle w:val="15"/>
        <w:numPr>
          <w:ilvl w:val="0"/>
          <w:numId w:val="0"/>
        </w:numPr>
        <w:ind w:left="420" w:leftChars="0"/>
      </w:pPr>
    </w:p>
    <w:p w14:paraId="06612B7B">
      <w:pPr>
        <w:pStyle w:val="15"/>
        <w:ind w:firstLine="420"/>
      </w:pPr>
      <w:r>
        <w:rPr>
          <w:rFonts w:hint="eastAsia"/>
        </w:rPr>
        <w:t>销售机构主要职责：</w:t>
      </w:r>
    </w:p>
    <w:p w14:paraId="211BB75B">
      <w:pPr>
        <w:autoSpaceDE w:val="0"/>
        <w:autoSpaceDN w:val="0"/>
        <w:adjustRightInd w:val="0"/>
        <w:ind w:firstLine="420" w:firstLineChars="200"/>
        <w:jc w:val="left"/>
        <w:rPr>
          <w:rFonts w:ascii="黑体" w:hAnsi="黑体" w:cs="宋体"/>
          <w:bCs/>
          <w:kern w:val="0"/>
          <w:szCs w:val="21"/>
        </w:rPr>
      </w:pPr>
      <w:r>
        <w:rPr>
          <w:rFonts w:ascii="黑体" w:hAnsi="黑体" w:cs="宋体"/>
          <w:bCs/>
          <w:kern w:val="0"/>
          <w:szCs w:val="21"/>
        </w:rPr>
        <w:t>1</w:t>
      </w:r>
      <w:r>
        <w:rPr>
          <w:rFonts w:hint="eastAsia" w:ascii="黑体" w:hAnsi="黑体" w:cs="宋体"/>
          <w:bCs/>
          <w:kern w:val="0"/>
          <w:szCs w:val="21"/>
        </w:rPr>
        <w:t>、严格遵循国家法律、法规及其他有关规定和理财产品销售文件的规定，办理本产品销售业务，勤勉、尽责地履行销售机构的职责；</w:t>
      </w:r>
    </w:p>
    <w:p w14:paraId="5B85CB72">
      <w:pPr>
        <w:autoSpaceDE w:val="0"/>
        <w:autoSpaceDN w:val="0"/>
        <w:adjustRightInd w:val="0"/>
        <w:ind w:firstLine="420" w:firstLineChars="200"/>
        <w:jc w:val="left"/>
        <w:rPr>
          <w:rFonts w:ascii="黑体" w:hAnsi="黑体" w:cs="宋体"/>
          <w:bCs/>
          <w:kern w:val="0"/>
          <w:szCs w:val="21"/>
        </w:rPr>
      </w:pPr>
      <w:r>
        <w:rPr>
          <w:rFonts w:hint="eastAsia" w:ascii="黑体" w:hAnsi="黑体" w:cs="宋体"/>
          <w:bCs/>
          <w:kern w:val="0"/>
          <w:szCs w:val="21"/>
        </w:rPr>
        <w:t>2、应保证在履行理财产品销售文件过程中占有、控制的理财产品资产或理财产品份额持有人的资产与销售机构自身资产相互独立，分别建账，分别管理；</w:t>
      </w:r>
    </w:p>
    <w:p w14:paraId="5C39C466">
      <w:pPr>
        <w:autoSpaceDE w:val="0"/>
        <w:autoSpaceDN w:val="0"/>
        <w:adjustRightInd w:val="0"/>
        <w:ind w:firstLine="420" w:firstLineChars="200"/>
        <w:jc w:val="left"/>
        <w:rPr>
          <w:rFonts w:ascii="黑体" w:hAnsi="黑体" w:cs="宋体"/>
          <w:bCs/>
          <w:kern w:val="0"/>
          <w:szCs w:val="21"/>
        </w:rPr>
      </w:pPr>
      <w:r>
        <w:rPr>
          <w:rFonts w:hint="eastAsia" w:ascii="黑体" w:hAnsi="黑体" w:cs="宋体"/>
          <w:bCs/>
          <w:kern w:val="0"/>
          <w:szCs w:val="21"/>
        </w:rPr>
        <w:t>3、对投资者身份信息的真实性进行验证；</w:t>
      </w:r>
    </w:p>
    <w:p w14:paraId="2084E198">
      <w:pPr>
        <w:autoSpaceDE w:val="0"/>
        <w:autoSpaceDN w:val="0"/>
        <w:adjustRightInd w:val="0"/>
        <w:ind w:firstLine="420" w:firstLineChars="200"/>
        <w:jc w:val="left"/>
        <w:rPr>
          <w:rFonts w:ascii="黑体" w:hAnsi="黑体" w:cs="宋体"/>
          <w:bCs/>
          <w:kern w:val="0"/>
          <w:szCs w:val="21"/>
        </w:rPr>
      </w:pPr>
      <w:r>
        <w:rPr>
          <w:rFonts w:ascii="黑体" w:hAnsi="黑体" w:cs="宋体"/>
          <w:bCs/>
          <w:kern w:val="0"/>
          <w:szCs w:val="21"/>
        </w:rPr>
        <w:t>4</w:t>
      </w:r>
      <w:r>
        <w:rPr>
          <w:rFonts w:hint="eastAsia" w:ascii="黑体" w:hAnsi="黑体" w:cs="宋体"/>
          <w:bCs/>
          <w:kern w:val="0"/>
          <w:szCs w:val="21"/>
        </w:rPr>
        <w:t>、对非机构投资者严谨客观实施风险承受能力评估并持续跟进，根据投资者的风险承受能力销售不同风险等级的产品，把合适的理财产品销售给合适的投资者；</w:t>
      </w:r>
    </w:p>
    <w:p w14:paraId="1AC64068">
      <w:pPr>
        <w:autoSpaceDE w:val="0"/>
        <w:autoSpaceDN w:val="0"/>
        <w:adjustRightInd w:val="0"/>
        <w:ind w:firstLine="420" w:firstLineChars="200"/>
        <w:jc w:val="left"/>
        <w:rPr>
          <w:rFonts w:ascii="黑体" w:hAnsi="黑体" w:cs="宋体"/>
          <w:bCs/>
          <w:kern w:val="0"/>
          <w:szCs w:val="21"/>
        </w:rPr>
      </w:pPr>
      <w:r>
        <w:rPr>
          <w:rFonts w:ascii="黑体" w:hAnsi="黑体" w:cs="宋体"/>
          <w:bCs/>
          <w:kern w:val="0"/>
          <w:szCs w:val="21"/>
        </w:rPr>
        <w:t>5</w:t>
      </w:r>
      <w:r>
        <w:rPr>
          <w:rFonts w:hint="eastAsia" w:ascii="黑体" w:hAnsi="黑体" w:cs="宋体"/>
          <w:bCs/>
          <w:kern w:val="0"/>
          <w:szCs w:val="21"/>
        </w:rPr>
        <w:t>、向投资者提供持续信息服务，包括但不限于以下方面</w:t>
      </w:r>
      <w:r>
        <w:rPr>
          <w:rFonts w:ascii="黑体" w:hAnsi="黑体" w:cs="宋体"/>
          <w:bCs/>
          <w:kern w:val="0"/>
          <w:szCs w:val="21"/>
        </w:rPr>
        <w:t>:</w:t>
      </w:r>
      <w:r>
        <w:rPr>
          <w:rFonts w:hint="eastAsia" w:ascii="黑体" w:hAnsi="黑体" w:cs="宋体"/>
          <w:bCs/>
          <w:kern w:val="0"/>
          <w:szCs w:val="21"/>
        </w:rPr>
        <w:t>及时向投资者告知申赎理财产品的确认日期、确认份额和金额等信息；定期向投资者提供其所持有的理财产品基本信息；及时向投资者告知对其决策有重大影响的信息；</w:t>
      </w:r>
    </w:p>
    <w:p w14:paraId="74F1094E">
      <w:pPr>
        <w:autoSpaceDE w:val="0"/>
        <w:autoSpaceDN w:val="0"/>
        <w:adjustRightInd w:val="0"/>
        <w:ind w:firstLine="420" w:firstLineChars="200"/>
        <w:jc w:val="left"/>
        <w:rPr>
          <w:rFonts w:ascii="黑体" w:hAnsi="黑体" w:cs="宋体"/>
          <w:bCs/>
          <w:kern w:val="0"/>
          <w:szCs w:val="21"/>
        </w:rPr>
      </w:pPr>
      <w:r>
        <w:rPr>
          <w:rFonts w:ascii="黑体" w:hAnsi="黑体" w:cs="宋体"/>
          <w:bCs/>
          <w:kern w:val="0"/>
          <w:szCs w:val="21"/>
        </w:rPr>
        <w:t>6</w:t>
      </w:r>
      <w:r>
        <w:rPr>
          <w:rFonts w:hint="eastAsia" w:ascii="黑体" w:hAnsi="黑体" w:cs="宋体"/>
          <w:bCs/>
          <w:kern w:val="0"/>
          <w:szCs w:val="21"/>
        </w:rPr>
        <w:t>、充分了解面向特定对象销售的理财产品的投资者信息，收集、核验投资者金融资产证明、收入证明或纳税凭证等材料；</w:t>
      </w:r>
    </w:p>
    <w:p w14:paraId="20C8B15E">
      <w:pPr>
        <w:autoSpaceDE w:val="0"/>
        <w:autoSpaceDN w:val="0"/>
        <w:adjustRightInd w:val="0"/>
        <w:ind w:firstLine="420" w:firstLineChars="200"/>
        <w:jc w:val="left"/>
        <w:rPr>
          <w:rFonts w:ascii="黑体" w:hAnsi="黑体" w:cs="宋体"/>
          <w:bCs/>
          <w:kern w:val="0"/>
          <w:szCs w:val="21"/>
        </w:rPr>
      </w:pPr>
      <w:r>
        <w:rPr>
          <w:rFonts w:ascii="黑体" w:hAnsi="黑体" w:cs="宋体"/>
          <w:bCs/>
          <w:kern w:val="0"/>
          <w:szCs w:val="21"/>
        </w:rPr>
        <w:t>7</w:t>
      </w:r>
      <w:r>
        <w:rPr>
          <w:rFonts w:hint="eastAsia" w:ascii="黑体" w:hAnsi="黑体" w:cs="宋体"/>
          <w:bCs/>
          <w:kern w:val="0"/>
          <w:szCs w:val="21"/>
        </w:rPr>
        <w:t>、根据反洗钱、反恐怖融资及非居民金融账户涉税信息尽职调查等相关法律法规要求识别客户身份；</w:t>
      </w:r>
    </w:p>
    <w:p w14:paraId="782A5EC3">
      <w:pPr>
        <w:autoSpaceDE w:val="0"/>
        <w:autoSpaceDN w:val="0"/>
        <w:adjustRightInd w:val="0"/>
        <w:ind w:firstLine="420" w:firstLineChars="200"/>
        <w:jc w:val="left"/>
        <w:rPr>
          <w:rFonts w:ascii="黑体" w:hAnsi="黑体" w:cs="宋体"/>
          <w:bCs/>
          <w:kern w:val="0"/>
          <w:szCs w:val="21"/>
        </w:rPr>
      </w:pPr>
      <w:r>
        <w:rPr>
          <w:rFonts w:ascii="黑体" w:hAnsi="黑体" w:cs="宋体"/>
          <w:bCs/>
          <w:kern w:val="0"/>
          <w:szCs w:val="21"/>
        </w:rPr>
        <w:t>8</w:t>
      </w:r>
      <w:r>
        <w:rPr>
          <w:rFonts w:hint="eastAsia" w:ascii="黑体" w:hAnsi="黑体" w:cs="宋体"/>
          <w:bCs/>
          <w:kern w:val="0"/>
          <w:szCs w:val="21"/>
        </w:rPr>
        <w:t>、按照法律法规规定、理财产品销售文件约定办理理财产品的认（申）购、赎回，归集、划转理财产品销售结算资金，确保理财产品销售结算资金安全、及时划付。通过投资者指定账户办理理财产品认（申）购和赎回的款项收付，并将赎回、分红及认（申）购不成功的相应款项划入投资者指定账户，制作、留存款项收付的有效凭证；</w:t>
      </w:r>
    </w:p>
    <w:p w14:paraId="4A8172B7">
      <w:pPr>
        <w:autoSpaceDE w:val="0"/>
        <w:autoSpaceDN w:val="0"/>
        <w:adjustRightInd w:val="0"/>
        <w:ind w:firstLine="420" w:firstLineChars="200"/>
        <w:jc w:val="left"/>
        <w:rPr>
          <w:rFonts w:ascii="黑体" w:hAnsi="黑体" w:cs="宋体"/>
          <w:bCs/>
          <w:kern w:val="0"/>
          <w:szCs w:val="21"/>
        </w:rPr>
      </w:pPr>
      <w:r>
        <w:rPr>
          <w:rFonts w:ascii="黑体" w:hAnsi="黑体" w:cs="宋体"/>
          <w:bCs/>
          <w:kern w:val="0"/>
          <w:szCs w:val="21"/>
        </w:rPr>
        <w:t>9、完整记录和保存销售业务活动信息，确保记录信息全面、准确和</w:t>
      </w:r>
      <w:r>
        <w:rPr>
          <w:rFonts w:hint="eastAsia" w:ascii="黑体" w:hAnsi="黑体" w:cs="宋体"/>
          <w:bCs/>
          <w:kern w:val="0"/>
          <w:szCs w:val="21"/>
        </w:rPr>
        <w:t>不可篡改；</w:t>
      </w:r>
    </w:p>
    <w:p w14:paraId="45445228">
      <w:pPr>
        <w:autoSpaceDE w:val="0"/>
        <w:autoSpaceDN w:val="0"/>
        <w:adjustRightInd w:val="0"/>
        <w:ind w:firstLine="420" w:firstLineChars="200"/>
        <w:jc w:val="left"/>
        <w:rPr>
          <w:rFonts w:ascii="黑体" w:hAnsi="黑体" w:cs="宋体"/>
          <w:bCs/>
          <w:kern w:val="0"/>
          <w:szCs w:val="21"/>
        </w:rPr>
      </w:pPr>
      <w:r>
        <w:rPr>
          <w:rFonts w:ascii="黑体" w:hAnsi="黑体" w:cs="宋体"/>
          <w:bCs/>
          <w:kern w:val="0"/>
          <w:szCs w:val="21"/>
        </w:rPr>
        <w:t>10</w:t>
      </w:r>
      <w:r>
        <w:rPr>
          <w:rFonts w:hint="eastAsia" w:ascii="黑体" w:hAnsi="黑体" w:cs="宋体"/>
          <w:bCs/>
          <w:kern w:val="0"/>
          <w:szCs w:val="21"/>
        </w:rPr>
        <w:t>、根据有关法律法规、监管规定和理财产品销售文件的要求，及时、充分披露本产品的相关信息；</w:t>
      </w:r>
    </w:p>
    <w:p w14:paraId="7B2A6712">
      <w:pPr>
        <w:autoSpaceDE w:val="0"/>
        <w:autoSpaceDN w:val="0"/>
        <w:adjustRightInd w:val="0"/>
        <w:ind w:firstLine="420" w:firstLineChars="200"/>
        <w:jc w:val="left"/>
        <w:rPr>
          <w:rFonts w:ascii="黑体" w:hAnsi="黑体" w:cs="宋体"/>
          <w:bCs/>
          <w:kern w:val="0"/>
          <w:szCs w:val="21"/>
        </w:rPr>
      </w:pPr>
      <w:r>
        <w:rPr>
          <w:rFonts w:ascii="黑体" w:hAnsi="黑体" w:cs="宋体"/>
          <w:bCs/>
          <w:kern w:val="0"/>
          <w:szCs w:val="21"/>
        </w:rPr>
        <w:t>11</w:t>
      </w:r>
      <w:r>
        <w:rPr>
          <w:rFonts w:hint="eastAsia" w:ascii="黑体" w:hAnsi="黑体" w:cs="宋体"/>
          <w:bCs/>
          <w:kern w:val="0"/>
          <w:szCs w:val="21"/>
        </w:rPr>
        <w:t>、建立健全档案管理制度，妥善保管投资者理财产品销售相关资料，保管年限不得低于法规规定的年限；</w:t>
      </w:r>
    </w:p>
    <w:p w14:paraId="1447FF1B">
      <w:pPr>
        <w:autoSpaceDE w:val="0"/>
        <w:autoSpaceDN w:val="0"/>
        <w:adjustRightInd w:val="0"/>
        <w:ind w:firstLine="420" w:firstLineChars="200"/>
        <w:jc w:val="left"/>
        <w:rPr>
          <w:rFonts w:ascii="黑体" w:hAnsi="黑体" w:cs="宋体"/>
          <w:kern w:val="0"/>
          <w:szCs w:val="21"/>
        </w:rPr>
      </w:pPr>
      <w:r>
        <w:rPr>
          <w:rFonts w:ascii="黑体" w:hAnsi="黑体" w:cs="宋体"/>
          <w:bCs/>
          <w:kern w:val="0"/>
          <w:szCs w:val="21"/>
        </w:rPr>
        <w:t>12</w:t>
      </w:r>
      <w:r>
        <w:rPr>
          <w:rFonts w:hint="eastAsia" w:ascii="黑体" w:hAnsi="黑体" w:cs="宋体"/>
          <w:bCs/>
          <w:kern w:val="0"/>
          <w:szCs w:val="21"/>
        </w:rPr>
        <w:t>、法律、法规</w:t>
      </w:r>
      <w:r>
        <w:rPr>
          <w:rFonts w:ascii="黑体" w:hAnsi="黑体" w:cs="宋体"/>
          <w:bCs/>
          <w:kern w:val="0"/>
          <w:szCs w:val="21"/>
        </w:rPr>
        <w:t>、</w:t>
      </w:r>
      <w:r>
        <w:rPr>
          <w:rFonts w:hint="eastAsia" w:ascii="黑体" w:hAnsi="黑体" w:cs="宋体"/>
          <w:bCs/>
          <w:kern w:val="0"/>
          <w:szCs w:val="21"/>
        </w:rPr>
        <w:t>国务院银行业监督管理机构规定、理财产品销售文件约定的其他职责。</w:t>
      </w:r>
    </w:p>
    <w:p w14:paraId="783407CE">
      <w:pPr>
        <w:autoSpaceDE w:val="0"/>
        <w:autoSpaceDN w:val="0"/>
        <w:adjustRightInd w:val="0"/>
        <w:jc w:val="left"/>
        <w:rPr>
          <w:rFonts w:ascii="黑体" w:hAnsi="黑体" w:cs="宋体"/>
          <w:b/>
          <w:kern w:val="0"/>
          <w:szCs w:val="21"/>
        </w:rPr>
      </w:pPr>
    </w:p>
    <w:p w14:paraId="630F559B">
      <w:pPr>
        <w:autoSpaceDE w:val="0"/>
        <w:autoSpaceDN w:val="0"/>
        <w:adjustRightInd w:val="0"/>
        <w:jc w:val="left"/>
        <w:rPr>
          <w:rFonts w:ascii="黑体" w:hAnsi="黑体" w:cs="宋体"/>
          <w:kern w:val="0"/>
          <w:szCs w:val="21"/>
        </w:rPr>
      </w:pPr>
      <w:r>
        <w:rPr>
          <w:rFonts w:hint="eastAsia" w:ascii="黑体" w:hAnsi="黑体" w:cs="宋体"/>
          <w:b/>
          <w:kern w:val="0"/>
          <w:szCs w:val="21"/>
        </w:rPr>
        <w:t>九、投资合作机构</w:t>
      </w:r>
    </w:p>
    <w:p w14:paraId="3E27EBC1">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投资合作机构的主要职责为进行受托资金的投资管理，根据合同约定从事受托投资或提供投资顾问等服务，具体职责以产品管理人与投资合作机构签署的合同为准。</w:t>
      </w:r>
    </w:p>
    <w:p w14:paraId="4EE0F89A">
      <w:pPr>
        <w:autoSpaceDE w:val="0"/>
        <w:autoSpaceDN w:val="0"/>
        <w:adjustRightInd w:val="0"/>
        <w:ind w:firstLine="422" w:firstLineChars="200"/>
        <w:jc w:val="left"/>
        <w:rPr>
          <w:rFonts w:ascii="黑体" w:hAnsi="黑体" w:cs="黑体"/>
          <w:b/>
          <w:bCs/>
          <w:kern w:val="0"/>
          <w:szCs w:val="21"/>
        </w:rPr>
      </w:pPr>
    </w:p>
    <w:p w14:paraId="34E5EAD5">
      <w:pPr>
        <w:autoSpaceDE w:val="0"/>
        <w:autoSpaceDN w:val="0"/>
        <w:adjustRightInd w:val="0"/>
        <w:jc w:val="left"/>
        <w:rPr>
          <w:rFonts w:ascii="黑体" w:hAnsi="黑体" w:cs="宋体"/>
          <w:b/>
          <w:kern w:val="0"/>
          <w:szCs w:val="21"/>
        </w:rPr>
      </w:pPr>
      <w:r>
        <w:rPr>
          <w:rFonts w:hint="eastAsia" w:ascii="黑体" w:hAnsi="黑体" w:cs="宋体"/>
          <w:b/>
          <w:kern w:val="0"/>
          <w:szCs w:val="21"/>
        </w:rPr>
        <w:t>十、信息披露</w:t>
      </w:r>
    </w:p>
    <w:p w14:paraId="363BDCB5">
      <w:pPr>
        <w:autoSpaceDE w:val="0"/>
        <w:autoSpaceDN w:val="0"/>
        <w:adjustRightInd w:val="0"/>
        <w:jc w:val="left"/>
        <w:rPr>
          <w:rFonts w:ascii="黑体" w:hAnsi="黑体" w:cs="宋体"/>
          <w:kern w:val="0"/>
          <w:szCs w:val="21"/>
        </w:rPr>
      </w:pPr>
      <w:r>
        <w:rPr>
          <w:rFonts w:hint="eastAsia" w:ascii="黑体" w:hAnsi="黑体" w:cs="宋体"/>
          <w:kern w:val="0"/>
          <w:szCs w:val="21"/>
        </w:rPr>
        <w:t>（一</w:t>
      </w:r>
      <w:r>
        <w:rPr>
          <w:rFonts w:ascii="黑体" w:hAnsi="黑体" w:cs="宋体"/>
          <w:kern w:val="0"/>
          <w:szCs w:val="21"/>
        </w:rPr>
        <w:t>）信息披露内容</w:t>
      </w:r>
    </w:p>
    <w:p w14:paraId="6FB44FAF">
      <w:pPr>
        <w:pStyle w:val="15"/>
        <w:ind w:firstLine="420"/>
      </w:pPr>
      <w:r>
        <w:t>产品管理人将于产品募集期间、存续期间和终止时，</w:t>
      </w:r>
      <w:r>
        <w:rPr>
          <w:rFonts w:hint="eastAsia"/>
        </w:rPr>
        <w:t>通过宁银理财官网（</w:t>
      </w:r>
      <w:r>
        <w:t>www.wmbnb.com)、</w:t>
      </w:r>
      <w:r>
        <w:rPr>
          <w:rFonts w:hint="eastAsia"/>
        </w:rPr>
        <w:t>宁银理财直销app、</w:t>
      </w:r>
      <w:r>
        <w:t>宁银理财相关产品代理销售机构官方渠道或其他适当的方式披露以下产品信息：</w:t>
      </w:r>
    </w:p>
    <w:p w14:paraId="004F60DE">
      <w:pPr>
        <w:autoSpaceDE w:val="0"/>
        <w:autoSpaceDN w:val="0"/>
        <w:adjustRightInd w:val="0"/>
        <w:ind w:firstLine="420" w:firstLineChars="200"/>
        <w:jc w:val="left"/>
        <w:rPr>
          <w:rFonts w:ascii="黑体" w:hAnsi="黑体" w:cs="宋体"/>
          <w:kern w:val="0"/>
          <w:szCs w:val="21"/>
        </w:rPr>
      </w:pPr>
      <w:r>
        <w:rPr>
          <w:rFonts w:ascii="黑体" w:hAnsi="黑体" w:cs="宋体"/>
          <w:kern w:val="0"/>
          <w:szCs w:val="21"/>
        </w:rPr>
        <w:t>1、</w:t>
      </w:r>
      <w:r>
        <w:rPr>
          <w:rFonts w:hint="eastAsia" w:ascii="黑体" w:hAnsi="黑体" w:cs="宋体"/>
          <w:kern w:val="0"/>
          <w:szCs w:val="21"/>
        </w:rPr>
        <w:t>理财产品销售文件，包括《理财产品说明书》、《风险揭示书》、</w:t>
      </w:r>
      <w:r>
        <w:rPr>
          <w:rFonts w:hint="eastAsia" w:ascii="黑体" w:hAnsi="黑体" w:cs="黑体"/>
          <w:kern w:val="0"/>
          <w:szCs w:val="21"/>
        </w:rPr>
        <w:t>《销售（代理销售）协议书》</w:t>
      </w:r>
      <w:r>
        <w:rPr>
          <w:rFonts w:hint="eastAsia" w:ascii="黑体" w:hAnsi="黑体" w:cs="宋体"/>
          <w:kern w:val="0"/>
          <w:szCs w:val="21"/>
        </w:rPr>
        <w:t>、《投资协议书》和《投资者权益须知》等有关文件，以及对以上文件的有效修改或补充；</w:t>
      </w:r>
    </w:p>
    <w:p w14:paraId="36068A6F">
      <w:pPr>
        <w:autoSpaceDE w:val="0"/>
        <w:autoSpaceDN w:val="0"/>
        <w:adjustRightInd w:val="0"/>
        <w:ind w:firstLine="420" w:firstLineChars="200"/>
        <w:jc w:val="left"/>
        <w:rPr>
          <w:rFonts w:ascii="黑体" w:hAnsi="黑体" w:cs="宋体"/>
          <w:kern w:val="0"/>
          <w:szCs w:val="21"/>
        </w:rPr>
      </w:pPr>
      <w:r>
        <w:rPr>
          <w:rFonts w:hint="eastAsia" w:ascii="黑体" w:hAnsi="黑体" w:cs="宋体"/>
          <w:kern w:val="0"/>
          <w:szCs w:val="21"/>
        </w:rPr>
        <w:t>2、发行公告，包括本产品成立日期和募集规模等信息，产品管理人将在本理财产品成立后5个工作日内披露产品发行公告；</w:t>
      </w:r>
    </w:p>
    <w:p w14:paraId="7D356676">
      <w:pPr>
        <w:autoSpaceDE w:val="0"/>
        <w:autoSpaceDN w:val="0"/>
        <w:adjustRightInd w:val="0"/>
        <w:ind w:firstLine="420" w:firstLineChars="200"/>
        <w:jc w:val="left"/>
        <w:rPr>
          <w:rFonts w:ascii="黑体" w:hAnsi="黑体" w:cs="宋体"/>
          <w:kern w:val="0"/>
          <w:szCs w:val="21"/>
        </w:rPr>
      </w:pPr>
      <w:r>
        <w:rPr>
          <w:rFonts w:hint="eastAsia" w:ascii="黑体" w:hAnsi="黑体" w:cs="宋体"/>
          <w:kern w:val="0"/>
          <w:szCs w:val="21"/>
        </w:rPr>
        <w:t>3、定期报告，包括本产品的存续规模、收益表现，并分别列示直接和间接投资的资产种类、投资比例、投资组合的流动性风险分析，以及前十项资产具体名称、规模和比例等信息；</w:t>
      </w:r>
    </w:p>
    <w:p w14:paraId="25CDC9C5">
      <w:pPr>
        <w:autoSpaceDE w:val="0"/>
        <w:autoSpaceDN w:val="0"/>
        <w:adjustRightInd w:val="0"/>
        <w:ind w:firstLine="420" w:firstLineChars="200"/>
        <w:jc w:val="left"/>
        <w:rPr>
          <w:rFonts w:ascii="黑体" w:hAnsi="黑体" w:cs="宋体"/>
          <w:kern w:val="0"/>
          <w:szCs w:val="21"/>
        </w:rPr>
      </w:pPr>
      <w:r>
        <w:rPr>
          <w:rFonts w:hint="eastAsia" w:ascii="黑体" w:hAnsi="黑体" w:cs="宋体"/>
          <w:kern w:val="0"/>
          <w:szCs w:val="21"/>
        </w:rPr>
        <w:t>产品管理人将在每个季度结束之日起15个工作日内、上半年结束之日起60个工作日内、每年结束之日起90个工作日内披露本理财产品的季度、半年度和年度报告，如果本理财产品成立不足90个工作日或者剩余存续期不超过90个工作日的，产品管理人可以不编制产品当期的季度、半年度和年度报告；</w:t>
      </w:r>
    </w:p>
    <w:p w14:paraId="7F1C7D17">
      <w:pPr>
        <w:autoSpaceDE w:val="0"/>
        <w:autoSpaceDN w:val="0"/>
        <w:adjustRightInd w:val="0"/>
        <w:ind w:firstLine="420" w:firstLineChars="200"/>
        <w:jc w:val="left"/>
        <w:rPr>
          <w:rFonts w:ascii="黑体" w:hAnsi="黑体" w:cs="宋体"/>
          <w:kern w:val="0"/>
          <w:szCs w:val="21"/>
        </w:rPr>
      </w:pPr>
      <w:r>
        <w:rPr>
          <w:rFonts w:hint="eastAsia" w:ascii="黑体" w:hAnsi="黑体" w:cs="宋体"/>
          <w:kern w:val="0"/>
          <w:szCs w:val="21"/>
        </w:rPr>
        <w:t>4、到期公告，包括本产品的存续期限、终止日期、收费情况和收益分配情况等信息，产品管理人将在本理财产品终止后5个工作日内披露产品到期公告；</w:t>
      </w:r>
    </w:p>
    <w:p w14:paraId="008D29A1">
      <w:pPr>
        <w:autoSpaceDE w:val="0"/>
        <w:autoSpaceDN w:val="0"/>
        <w:adjustRightInd w:val="0"/>
        <w:ind w:firstLine="420" w:firstLineChars="200"/>
        <w:jc w:val="left"/>
        <w:rPr>
          <w:rFonts w:ascii="黑体" w:hAnsi="黑体" w:cs="宋体"/>
          <w:kern w:val="0"/>
          <w:szCs w:val="21"/>
        </w:rPr>
      </w:pPr>
      <w:r>
        <w:rPr>
          <w:rFonts w:hint="eastAsia" w:ascii="黑体" w:hAnsi="黑体" w:cs="宋体"/>
          <w:kern w:val="0"/>
          <w:szCs w:val="21"/>
        </w:rPr>
        <w:t>5、重大事项公告；</w:t>
      </w:r>
    </w:p>
    <w:p w14:paraId="6AE3980D">
      <w:pPr>
        <w:autoSpaceDE w:val="0"/>
        <w:autoSpaceDN w:val="0"/>
        <w:adjustRightInd w:val="0"/>
        <w:ind w:firstLine="420" w:firstLineChars="200"/>
        <w:jc w:val="left"/>
        <w:rPr>
          <w:rFonts w:ascii="黑体" w:hAnsi="黑体" w:cs="宋体"/>
          <w:kern w:val="0"/>
          <w:szCs w:val="21"/>
        </w:rPr>
      </w:pPr>
      <w:r>
        <w:rPr>
          <w:rFonts w:hint="eastAsia" w:ascii="黑体" w:hAnsi="黑体" w:cs="宋体"/>
          <w:kern w:val="0"/>
          <w:szCs w:val="21"/>
        </w:rPr>
        <w:t>6、临时性信息披露；</w:t>
      </w:r>
    </w:p>
    <w:p w14:paraId="3DDD3442">
      <w:pPr>
        <w:autoSpaceDE w:val="0"/>
        <w:autoSpaceDN w:val="0"/>
        <w:adjustRightInd w:val="0"/>
        <w:ind w:firstLine="420" w:firstLineChars="200"/>
        <w:jc w:val="left"/>
        <w:rPr>
          <w:rFonts w:ascii="黑体" w:hAnsi="黑体" w:cs="宋体"/>
          <w:kern w:val="0"/>
          <w:szCs w:val="21"/>
        </w:rPr>
      </w:pPr>
      <w:r>
        <w:rPr>
          <w:rFonts w:hint="eastAsia" w:ascii="黑体" w:hAnsi="黑体" w:cs="宋体"/>
          <w:kern w:val="0"/>
          <w:szCs w:val="21"/>
        </w:rPr>
        <w:t>7、国务院银行业监督管理机构规定的其他信息；</w:t>
      </w:r>
    </w:p>
    <w:p w14:paraId="6F8245A9">
      <w:pPr>
        <w:autoSpaceDE w:val="0"/>
        <w:autoSpaceDN w:val="0"/>
        <w:adjustRightInd w:val="0"/>
        <w:ind w:firstLine="420" w:firstLineChars="200"/>
        <w:jc w:val="left"/>
        <w:rPr>
          <w:rFonts w:ascii="黑体" w:hAnsi="黑体" w:cs="宋体"/>
          <w:kern w:val="0"/>
          <w:szCs w:val="21"/>
        </w:rPr>
      </w:pPr>
      <w:r>
        <w:rPr>
          <w:rFonts w:hint="eastAsia" w:ascii="黑体" w:hAnsi="黑体" w:cs="宋体"/>
          <w:kern w:val="0"/>
          <w:szCs w:val="21"/>
        </w:rPr>
        <w:t>8、产品管理人认为需要披露的其他信息。</w:t>
      </w:r>
    </w:p>
    <w:p w14:paraId="502E55D6">
      <w:pPr>
        <w:autoSpaceDE w:val="0"/>
        <w:autoSpaceDN w:val="0"/>
        <w:adjustRightInd w:val="0"/>
        <w:jc w:val="left"/>
        <w:rPr>
          <w:rFonts w:ascii="黑体" w:hAnsi="黑体" w:cs="宋体"/>
          <w:b/>
          <w:kern w:val="0"/>
          <w:szCs w:val="21"/>
        </w:rPr>
      </w:pPr>
      <w:r>
        <w:rPr>
          <w:rFonts w:hint="eastAsia" w:ascii="黑体" w:hAnsi="黑体" w:cs="宋体"/>
          <w:b/>
          <w:kern w:val="0"/>
          <w:szCs w:val="21"/>
        </w:rPr>
        <w:t>（二</w:t>
      </w:r>
      <w:r>
        <w:rPr>
          <w:rFonts w:ascii="黑体" w:hAnsi="黑体" w:cs="宋体"/>
          <w:b/>
          <w:kern w:val="0"/>
          <w:szCs w:val="21"/>
        </w:rPr>
        <w:t>）</w:t>
      </w:r>
      <w:r>
        <w:rPr>
          <w:rFonts w:hint="eastAsia" w:ascii="黑体" w:hAnsi="黑体" w:cs="宋体"/>
          <w:b/>
          <w:kern w:val="0"/>
          <w:szCs w:val="21"/>
        </w:rPr>
        <w:t>投资者同意，产品管理人或销售</w:t>
      </w:r>
      <w:r>
        <w:rPr>
          <w:rFonts w:ascii="黑体" w:hAnsi="黑体" w:cs="宋体"/>
          <w:b/>
          <w:kern w:val="0"/>
          <w:szCs w:val="21"/>
        </w:rPr>
        <w:t>机构</w:t>
      </w:r>
      <w:r>
        <w:rPr>
          <w:rFonts w:hint="eastAsia" w:ascii="黑体" w:hAnsi="黑体" w:cs="宋体"/>
          <w:b/>
          <w:kern w:val="0"/>
          <w:szCs w:val="21"/>
        </w:rPr>
        <w:t>通过</w:t>
      </w:r>
      <w:r>
        <w:rPr>
          <w:rFonts w:ascii="黑体" w:hAnsi="黑体" w:cs="宋体"/>
          <w:b/>
          <w:kern w:val="0"/>
          <w:szCs w:val="21"/>
        </w:rPr>
        <w:t>上述</w:t>
      </w:r>
      <w:r>
        <w:rPr>
          <w:rFonts w:hint="eastAsia" w:ascii="黑体" w:hAnsi="黑体" w:cs="宋体"/>
          <w:b/>
          <w:kern w:val="0"/>
          <w:szCs w:val="21"/>
        </w:rPr>
        <w:t>方式及</w:t>
      </w:r>
      <w:r>
        <w:rPr>
          <w:rFonts w:ascii="黑体" w:hAnsi="黑体" w:cs="宋体"/>
          <w:b/>
          <w:kern w:val="0"/>
          <w:szCs w:val="21"/>
        </w:rPr>
        <w:t>频率</w:t>
      </w:r>
      <w:r>
        <w:rPr>
          <w:rFonts w:hint="eastAsia" w:ascii="黑体" w:hAnsi="黑体" w:cs="宋体"/>
          <w:b/>
          <w:kern w:val="0"/>
          <w:szCs w:val="21"/>
        </w:rPr>
        <w:t>进行信息披露，</w:t>
      </w:r>
      <w:r>
        <w:rPr>
          <w:rFonts w:ascii="黑体" w:hAnsi="黑体" w:cs="宋体"/>
          <w:b/>
          <w:kern w:val="0"/>
          <w:szCs w:val="21"/>
        </w:rPr>
        <w:t>视为完全履行信息</w:t>
      </w:r>
      <w:r>
        <w:rPr>
          <w:rFonts w:hint="eastAsia" w:ascii="黑体" w:hAnsi="黑体" w:cs="宋体"/>
          <w:b/>
          <w:kern w:val="0"/>
          <w:szCs w:val="21"/>
        </w:rPr>
        <w:t>披露</w:t>
      </w:r>
      <w:r>
        <w:rPr>
          <w:rFonts w:ascii="黑体" w:hAnsi="黑体" w:cs="宋体"/>
          <w:b/>
          <w:kern w:val="0"/>
          <w:szCs w:val="21"/>
        </w:rPr>
        <w:t>义务</w:t>
      </w:r>
      <w:r>
        <w:rPr>
          <w:rFonts w:hint="eastAsia" w:ascii="黑体" w:hAnsi="黑体" w:cs="宋体"/>
          <w:b/>
          <w:kern w:val="0"/>
          <w:szCs w:val="21"/>
        </w:rPr>
        <w:t>，如果投资者未及时查询，或由于通讯故障、非产品管理人原因的系统故障以及其他不可抗力等因素的影响</w:t>
      </w:r>
      <w:r>
        <w:rPr>
          <w:rFonts w:ascii="黑体" w:hAnsi="黑体" w:cs="宋体"/>
          <w:b/>
          <w:kern w:val="0"/>
          <w:szCs w:val="21"/>
        </w:rPr>
        <w:t>,致使投资者无法及时了解产品信息，因此而产生的（包括但不限于因未及时获知信息而错过资金使用和再投资的机会等）全部责任和风险，由投资者自行承担。</w:t>
      </w:r>
    </w:p>
    <w:p w14:paraId="3855A766">
      <w:pPr>
        <w:autoSpaceDE w:val="0"/>
        <w:autoSpaceDN w:val="0"/>
        <w:adjustRightInd w:val="0"/>
        <w:ind w:firstLine="420" w:firstLineChars="200"/>
        <w:jc w:val="left"/>
        <w:rPr>
          <w:rFonts w:ascii="黑体" w:hAnsi="黑体" w:cs="宋体"/>
          <w:kern w:val="0"/>
          <w:szCs w:val="21"/>
        </w:rPr>
      </w:pPr>
    </w:p>
    <w:p w14:paraId="54F8E0DF">
      <w:pPr>
        <w:autoSpaceDE w:val="0"/>
        <w:autoSpaceDN w:val="0"/>
        <w:adjustRightInd w:val="0"/>
        <w:jc w:val="left"/>
        <w:rPr>
          <w:rFonts w:ascii="黑体" w:hAnsi="黑体" w:cs="黑体"/>
          <w:b/>
          <w:kern w:val="0"/>
          <w:szCs w:val="21"/>
        </w:rPr>
      </w:pPr>
      <w:r>
        <w:rPr>
          <w:rFonts w:hint="eastAsia" w:ascii="黑体" w:hAnsi="黑体" w:cs="黑体"/>
          <w:b/>
          <w:kern w:val="0"/>
          <w:szCs w:val="21"/>
        </w:rPr>
        <w:t>十一、特别提示</w:t>
      </w:r>
    </w:p>
    <w:p w14:paraId="311A8836">
      <w:pPr>
        <w:autoSpaceDE w:val="0"/>
        <w:autoSpaceDN w:val="0"/>
        <w:adjustRightInd w:val="0"/>
        <w:ind w:firstLine="422" w:firstLineChars="200"/>
        <w:jc w:val="left"/>
        <w:rPr>
          <w:rFonts w:ascii="黑体" w:hAnsi="黑体" w:cs="宋体"/>
          <w:b/>
          <w:kern w:val="0"/>
          <w:szCs w:val="21"/>
        </w:rPr>
      </w:pPr>
      <w:r>
        <w:rPr>
          <w:rFonts w:hint="eastAsia" w:ascii="黑体" w:hAnsi="黑体" w:cs="宋体"/>
          <w:b/>
          <w:kern w:val="0"/>
          <w:szCs w:val="21"/>
        </w:rPr>
        <w:t>1、本产品业绩比较基准、产品的过往业绩仅供投资者参考，并不作为产品管理人向投资者支付本产品本金</w:t>
      </w:r>
      <w:r>
        <w:rPr>
          <w:rFonts w:ascii="黑体" w:hAnsi="黑体" w:cs="宋体"/>
          <w:b/>
          <w:kern w:val="0"/>
          <w:szCs w:val="21"/>
        </w:rPr>
        <w:t>或</w:t>
      </w:r>
      <w:r>
        <w:rPr>
          <w:rFonts w:hint="eastAsia" w:ascii="黑体" w:hAnsi="黑体" w:cs="宋体"/>
          <w:b/>
          <w:kern w:val="0"/>
          <w:szCs w:val="21"/>
        </w:rPr>
        <w:t>收益的承诺；投资者所能获得的最终收益以产品实际</w:t>
      </w:r>
      <w:r>
        <w:rPr>
          <w:rFonts w:ascii="黑体" w:hAnsi="黑体" w:cs="宋体"/>
          <w:b/>
          <w:kern w:val="0"/>
          <w:szCs w:val="21"/>
        </w:rPr>
        <w:t>情况</w:t>
      </w:r>
      <w:r>
        <w:rPr>
          <w:rFonts w:hint="eastAsia" w:ascii="黑体" w:hAnsi="黑体" w:cs="宋体"/>
          <w:b/>
          <w:kern w:val="0"/>
          <w:szCs w:val="21"/>
        </w:rPr>
        <w:t>为准。</w:t>
      </w:r>
    </w:p>
    <w:p w14:paraId="66ECA730">
      <w:pPr>
        <w:autoSpaceDE w:val="0"/>
        <w:autoSpaceDN w:val="0"/>
        <w:adjustRightInd w:val="0"/>
        <w:ind w:firstLine="422" w:firstLineChars="200"/>
        <w:jc w:val="left"/>
        <w:rPr>
          <w:rFonts w:ascii="黑体" w:hAnsi="黑体" w:cs="宋体"/>
          <w:b/>
          <w:kern w:val="0"/>
          <w:szCs w:val="21"/>
        </w:rPr>
      </w:pPr>
      <w:r>
        <w:rPr>
          <w:rFonts w:ascii="黑体" w:hAnsi="黑体" w:cs="宋体"/>
          <w:b/>
          <w:kern w:val="0"/>
          <w:szCs w:val="21"/>
        </w:rPr>
        <w:t>2</w:t>
      </w:r>
      <w:r>
        <w:rPr>
          <w:rFonts w:hint="eastAsia" w:ascii="黑体" w:hAnsi="黑体" w:cs="宋体"/>
          <w:b/>
          <w:kern w:val="0"/>
          <w:szCs w:val="21"/>
        </w:rPr>
        <w:t>、投资者在投资前，请仔细阅读本说明书，并作出独立的投资决策。</w:t>
      </w:r>
    </w:p>
    <w:p w14:paraId="38B123A8">
      <w:pPr>
        <w:autoSpaceDE w:val="0"/>
        <w:autoSpaceDN w:val="0"/>
        <w:adjustRightInd w:val="0"/>
        <w:ind w:firstLine="422" w:firstLineChars="200"/>
        <w:jc w:val="left"/>
        <w:rPr>
          <w:rFonts w:ascii="黑体" w:hAnsi="黑体" w:cs="宋体"/>
          <w:b/>
          <w:kern w:val="0"/>
          <w:szCs w:val="21"/>
        </w:rPr>
      </w:pPr>
      <w:r>
        <w:rPr>
          <w:rFonts w:ascii="黑体" w:hAnsi="黑体" w:cs="宋体"/>
          <w:b/>
          <w:kern w:val="0"/>
          <w:szCs w:val="21"/>
        </w:rPr>
        <w:t>3、产品管理人</w:t>
      </w:r>
      <w:r>
        <w:rPr>
          <w:rFonts w:hint="eastAsia" w:ascii="黑体" w:hAnsi="黑体" w:cs="宋体"/>
          <w:b/>
          <w:kern w:val="0"/>
          <w:szCs w:val="21"/>
        </w:rPr>
        <w:t>将恪守勤勉尽责的原则，合理配置资产组合，为投资者提供专业化的理财服务。</w:t>
      </w:r>
    </w:p>
    <w:p w14:paraId="7EBB3F4E">
      <w:pPr>
        <w:autoSpaceDE w:val="0"/>
        <w:autoSpaceDN w:val="0"/>
        <w:adjustRightInd w:val="0"/>
        <w:ind w:firstLine="422" w:firstLineChars="200"/>
        <w:jc w:val="left"/>
        <w:rPr>
          <w:rFonts w:ascii="黑体" w:hAnsi="黑体" w:cs="宋体"/>
          <w:b/>
          <w:kern w:val="0"/>
          <w:szCs w:val="21"/>
        </w:rPr>
      </w:pPr>
      <w:r>
        <w:rPr>
          <w:rFonts w:ascii="黑体" w:hAnsi="黑体" w:cs="宋体"/>
          <w:b/>
          <w:kern w:val="0"/>
          <w:szCs w:val="21"/>
        </w:rPr>
        <w:t>4</w:t>
      </w:r>
      <w:r>
        <w:rPr>
          <w:rFonts w:hint="eastAsia" w:ascii="黑体" w:hAnsi="黑体" w:cs="宋体"/>
          <w:b/>
          <w:kern w:val="0"/>
          <w:szCs w:val="21"/>
        </w:rPr>
        <w:t>、投资者应密切关注产品管理人或</w:t>
      </w:r>
      <w:r>
        <w:rPr>
          <w:rFonts w:ascii="黑体" w:hAnsi="黑体" w:cs="宋体"/>
          <w:b/>
          <w:kern w:val="0"/>
          <w:szCs w:val="21"/>
        </w:rPr>
        <w:t>销售机构发布的</w:t>
      </w:r>
      <w:r>
        <w:rPr>
          <w:rFonts w:hint="eastAsia" w:ascii="黑体" w:hAnsi="黑体" w:cs="宋体"/>
          <w:b/>
          <w:kern w:val="0"/>
          <w:szCs w:val="21"/>
        </w:rPr>
        <w:t>与本产品有关的信息披露公告，以免造成不必要的损失。</w:t>
      </w:r>
    </w:p>
    <w:p w14:paraId="28DBBC0E">
      <w:pPr>
        <w:pStyle w:val="14"/>
      </w:pPr>
      <w:r>
        <w:t>5、其他：</w:t>
      </w:r>
      <w:r>
        <w:rPr>
          <w:rFonts w:hint="eastAsia"/>
        </w:rPr>
        <w:t>无。</w:t>
      </w:r>
    </w:p>
    <w:p w14:paraId="447D304B">
      <w:pPr>
        <w:pStyle w:val="15"/>
      </w:pPr>
    </w:p>
    <w:p w14:paraId="4B307D13">
      <w:pPr>
        <w:autoSpaceDE w:val="0"/>
        <w:autoSpaceDN w:val="0"/>
        <w:adjustRightInd w:val="0"/>
        <w:jc w:val="left"/>
        <w:rPr>
          <w:rFonts w:ascii="黑体" w:hAnsi="黑体"/>
          <w:b/>
          <w:szCs w:val="21"/>
        </w:rPr>
      </w:pPr>
      <w:r>
        <w:rPr>
          <w:rFonts w:hint="eastAsia" w:ascii="黑体" w:hAnsi="黑体"/>
          <w:b/>
          <w:szCs w:val="21"/>
        </w:rPr>
        <w:t>十二、其他</w:t>
      </w:r>
    </w:p>
    <w:p w14:paraId="478B94F4">
      <w:pPr>
        <w:autoSpaceDE w:val="0"/>
        <w:autoSpaceDN w:val="0"/>
        <w:adjustRightInd w:val="0"/>
        <w:ind w:firstLine="422" w:firstLineChars="200"/>
        <w:jc w:val="left"/>
        <w:rPr>
          <w:rFonts w:ascii="黑体" w:hAnsi="黑体"/>
          <w:b/>
          <w:szCs w:val="21"/>
        </w:rPr>
      </w:pPr>
      <w:r>
        <w:rPr>
          <w:rFonts w:ascii="黑体" w:hAnsi="黑体"/>
          <w:b/>
          <w:szCs w:val="21"/>
        </w:rPr>
        <w:t>1、除产品管理人</w:t>
      </w:r>
      <w:r>
        <w:rPr>
          <w:rFonts w:hint="eastAsia" w:ascii="黑体" w:hAnsi="黑体"/>
          <w:b/>
          <w:szCs w:val="21"/>
        </w:rPr>
        <w:t>同意外</w:t>
      </w:r>
      <w:r>
        <w:rPr>
          <w:rFonts w:ascii="黑体" w:hAnsi="黑体"/>
          <w:b/>
          <w:szCs w:val="21"/>
        </w:rPr>
        <w:t>，本产品</w:t>
      </w:r>
      <w:r>
        <w:rPr>
          <w:rFonts w:hint="eastAsia" w:ascii="黑体" w:hAnsi="黑体"/>
          <w:b/>
          <w:szCs w:val="21"/>
        </w:rPr>
        <w:t>不</w:t>
      </w:r>
      <w:r>
        <w:rPr>
          <w:rFonts w:ascii="黑体" w:hAnsi="黑体"/>
          <w:b/>
          <w:szCs w:val="21"/>
        </w:rPr>
        <w:t>允许</w:t>
      </w:r>
      <w:r>
        <w:rPr>
          <w:rFonts w:hint="eastAsia" w:ascii="黑体" w:hAnsi="黑体"/>
          <w:b/>
          <w:szCs w:val="21"/>
        </w:rPr>
        <w:t>投资者办理</w:t>
      </w:r>
      <w:r>
        <w:rPr>
          <w:rFonts w:ascii="黑体" w:hAnsi="黑体"/>
          <w:b/>
          <w:szCs w:val="21"/>
        </w:rPr>
        <w:t>提前赎回</w:t>
      </w:r>
      <w:r>
        <w:rPr>
          <w:rFonts w:hint="eastAsia" w:ascii="黑体" w:hAnsi="黑体"/>
          <w:b/>
          <w:szCs w:val="21"/>
        </w:rPr>
        <w:t>。</w:t>
      </w:r>
    </w:p>
    <w:p w14:paraId="7462D602">
      <w:pPr>
        <w:pStyle w:val="14"/>
      </w:pPr>
      <w:r>
        <w:t>2、其他：</w:t>
      </w:r>
      <w:r>
        <w:rPr>
          <w:rFonts w:hint="eastAsia"/>
        </w:rPr>
        <w:t>无。</w:t>
      </w:r>
    </w:p>
    <w:p w14:paraId="1D916C3F">
      <w:pPr>
        <w:autoSpaceDE w:val="0"/>
        <w:autoSpaceDN w:val="0"/>
        <w:adjustRightInd w:val="0"/>
        <w:ind w:firstLine="420" w:firstLineChars="200"/>
        <w:jc w:val="left"/>
        <w:rPr>
          <w:rFonts w:ascii="黑体" w:hAnsi="黑体"/>
          <w:szCs w:val="21"/>
        </w:rPr>
      </w:pPr>
    </w:p>
    <w:p w14:paraId="437917CC">
      <w:pPr>
        <w:autoSpaceDE w:val="0"/>
        <w:autoSpaceDN w:val="0"/>
        <w:adjustRightInd w:val="0"/>
        <w:ind w:firstLine="422" w:firstLineChars="200"/>
        <w:rPr>
          <w:rFonts w:ascii="黑体" w:hAnsi="黑体"/>
          <w:b/>
          <w:szCs w:val="21"/>
        </w:rPr>
      </w:pPr>
      <w:r>
        <w:rPr>
          <w:rFonts w:hint="eastAsia" w:ascii="黑体" w:hAnsi="黑体"/>
          <w:b/>
          <w:szCs w:val="21"/>
        </w:rPr>
        <w:t>以下内容由投资者确认并</w:t>
      </w:r>
      <w:r>
        <w:rPr>
          <w:rFonts w:ascii="黑体" w:hAnsi="黑体"/>
          <w:b/>
          <w:szCs w:val="21"/>
        </w:rPr>
        <w:t>签字</w:t>
      </w:r>
      <w:r>
        <w:rPr>
          <w:rFonts w:hint="eastAsia" w:ascii="黑体" w:hAnsi="黑体"/>
          <w:b/>
          <w:szCs w:val="21"/>
        </w:rPr>
        <w:t>（机构投资者需盖章），如通过线上渠道购买，认（申）购确认即视为投资者同意并确认下述内容：</w:t>
      </w:r>
    </w:p>
    <w:p w14:paraId="1697ED87">
      <w:pPr>
        <w:autoSpaceDE w:val="0"/>
        <w:autoSpaceDN w:val="0"/>
        <w:adjustRightInd w:val="0"/>
        <w:ind w:firstLine="420" w:firstLineChars="200"/>
        <w:rPr>
          <w:rFonts w:ascii="黑体" w:hAnsi="黑体"/>
          <w:szCs w:val="21"/>
        </w:rPr>
      </w:pPr>
      <w:r>
        <w:rPr>
          <w:rFonts w:hint="eastAsia" w:ascii="黑体" w:hAnsi="黑体"/>
          <w:szCs w:val="21"/>
        </w:rPr>
        <w:t>声明：本人/本机构充分阅读本</w:t>
      </w:r>
      <w:r>
        <w:rPr>
          <w:rFonts w:ascii="黑体" w:hAnsi="黑体"/>
          <w:szCs w:val="21"/>
        </w:rPr>
        <w:t>说明书及</w:t>
      </w:r>
      <w:r>
        <w:rPr>
          <w:rFonts w:hint="eastAsia" w:ascii="黑体" w:hAnsi="黑体"/>
          <w:szCs w:val="21"/>
        </w:rPr>
        <w:t>本理财产品的《风险揭示书》、</w:t>
      </w:r>
      <w:r>
        <w:rPr>
          <w:rFonts w:hint="eastAsia" w:ascii="黑体" w:hAnsi="黑体" w:cs="黑体"/>
          <w:kern w:val="0"/>
          <w:szCs w:val="21"/>
        </w:rPr>
        <w:t>《销售（代理销售）协议书》</w:t>
      </w:r>
      <w:r>
        <w:rPr>
          <w:rFonts w:hint="eastAsia" w:ascii="黑体" w:hAnsi="黑体"/>
          <w:szCs w:val="21"/>
        </w:rPr>
        <w:t>、《投资协议书》、《投资者权益须知》等理财产品销售文件，已全面、准确地理解本产品，充分认识到投资本产品需要承担的风险，并自愿承担此风险。</w:t>
      </w:r>
    </w:p>
    <w:p w14:paraId="154AA639">
      <w:pPr>
        <w:autoSpaceDE w:val="0"/>
        <w:autoSpaceDN w:val="0"/>
        <w:adjustRightInd w:val="0"/>
        <w:ind w:firstLine="420" w:firstLineChars="200"/>
        <w:jc w:val="left"/>
        <w:rPr>
          <w:rFonts w:ascii="黑体" w:hAnsi="黑体"/>
          <w:szCs w:val="21"/>
        </w:rPr>
      </w:pPr>
    </w:p>
    <w:p w14:paraId="4900B769">
      <w:pPr>
        <w:autoSpaceDE w:val="0"/>
        <w:autoSpaceDN w:val="0"/>
        <w:adjustRightInd w:val="0"/>
        <w:ind w:firstLine="422" w:firstLineChars="200"/>
        <w:jc w:val="left"/>
        <w:rPr>
          <w:rFonts w:ascii="黑体" w:hAnsi="黑体"/>
          <w:b/>
          <w:szCs w:val="21"/>
        </w:rPr>
      </w:pPr>
      <w:r>
        <w:rPr>
          <w:rFonts w:hint="eastAsia" w:ascii="黑体" w:hAnsi="黑体"/>
          <w:b/>
          <w:szCs w:val="21"/>
        </w:rPr>
        <w:t>投资者签字（或盖章）____________                  日期_______________</w:t>
      </w:r>
    </w:p>
    <w:p w14:paraId="7075A273">
      <w:pPr>
        <w:widowControl/>
        <w:jc w:val="left"/>
        <w:rPr>
          <w:rFonts w:ascii="黑体" w:hAnsi="黑体"/>
          <w:szCs w:val="21"/>
        </w:rPr>
      </w:pPr>
    </w:p>
    <w:p>
      <w:r>
        <w:br w:type="page"/>
      </w:r>
    </w:p>
    <w:p w14:paraId="27AA5ACE" w14:textId="16D94AA4" w:rsidR="005E3442" w:rsidRPr="00B5057A" w:rsidRDefault="008F5D4C" w:rsidP="005E3442">
      <w:pPr>
        <w:pStyle w:val="a8"/>
      </w:pPr>
      <w:r>
        <w:rPr>
          <w:rFonts w:hint="eastAsia"/>
        </w:rPr>
        <w:t>宁银理财</w:t>
      </w:r>
      <w:r w:rsidR="00890583">
        <w:rPr>
          <w:rFonts w:hAnsi="宋体" w:hint="eastAsia"/>
        </w:rPr>
        <w:t>有限责任公司</w:t>
      </w:r>
      <w:r w:rsidR="005E3442">
        <w:t>产品投资协议书</w:t>
      </w:r>
    </w:p>
    <w:p w14:paraId="4D6A45CF" w14:textId="0F2E7E96" w:rsidR="005E3442" w:rsidRPr="00B5057A" w:rsidRDefault="005E3442" w:rsidP="005E3442">
      <w:pPr>
        <w:pStyle w:val="a"/>
        <w:adjustRightInd w:val="0"/>
        <w:snapToGrid w:val="0"/>
        <w:spacing w:line="312" w:lineRule="auto"/>
        <w:jc w:val="center"/>
        <w:rPr>
          <w:rFonts w:ascii="宋体" w:eastAsia="等线" w:hAnsi="宋体" w:cs="Times New Roman"/>
          <w:b/>
          <w:sz w:val="24"/>
        </w:rPr>
      </w:pPr>
      <w:r w:rsidRPr="00B5057A">
        <w:rPr>
          <w:rFonts w:ascii="宋体" w:eastAsia="等线" w:hAnsi="宋体" w:cs="Times New Roman" w:hint="eastAsia"/>
          <w:b/>
          <w:sz w:val="24"/>
        </w:rPr>
        <w:t>（</w:t>
      </w:r>
      <w:r w:rsidRPr="00B5057A">
        <w:rPr>
          <w:rFonts w:ascii="宋体" w:eastAsia="等线" w:hAnsi="宋体" w:cs="Times New Roman"/>
          <w:b/>
          <w:sz w:val="24"/>
        </w:rPr>
        <w:t>202</w:t>
      </w:r>
      <w:r w:rsidR="00BE6228">
        <w:rPr>
          <w:rFonts w:ascii="宋体" w:eastAsia="等线" w:hAnsi="宋体" w:cs="Times New Roman" w:hint="eastAsia"/>
          <w:b/>
          <w:sz w:val="24"/>
        </w:rPr>
        <w:t>401</w:t>
      </w:r>
      <w:r w:rsidRPr="00B5057A">
        <w:rPr>
          <w:rFonts w:ascii="宋体" w:eastAsia="等线" w:hAnsi="宋体" w:cs="Times New Roman" w:hint="eastAsia"/>
          <w:b/>
          <w:sz w:val="24"/>
        </w:rPr>
        <w:t>版）</w:t>
      </w:r>
    </w:p>
    <w:p w14:paraId="01050027" w14:textId="77777777" w:rsidR="005E3442" w:rsidRPr="008B6618" w:rsidRDefault="005E3442" w:rsidP="005E3442">
      <w:pPr>
        <w:pStyle w:val="a"/>
        <w:adjustRightInd w:val="0"/>
        <w:snapToGrid w:val="0"/>
        <w:spacing w:line="312" w:lineRule="auto"/>
        <w:jc w:val="center"/>
        <w:rPr>
          <w:rFonts w:ascii="宋体" w:eastAsia="等线" w:hAnsi="宋体" w:cs="Times New Roman"/>
          <w:b/>
          <w:sz w:val="24"/>
        </w:rPr>
      </w:pPr>
    </w:p>
    <w:p w14:paraId="37E38580" w14:textId="77777777" w:rsidR="005E3442" w:rsidRPr="00B5057A" w:rsidRDefault="005E3442" w:rsidP="005E3442">
      <w:pPr>
        <w:pStyle w:val="a"/>
        <w:spacing w:line="360" w:lineRule="auto"/>
        <w:ind w:firstLineChars="200" w:firstLine="480"/>
        <w:rPr>
          <w:rFonts w:ascii="宋体" w:eastAsia="宋体" w:hAnsi="宋体" w:cs="Times New Roman"/>
          <w:sz w:val="24"/>
          <w:szCs w:val="24"/>
        </w:rPr>
      </w:pPr>
      <w:r w:rsidRPr="00B5057A">
        <w:rPr>
          <w:rFonts w:ascii="宋体" w:eastAsia="宋体" w:hAnsi="宋体" w:cs="Times New Roman" w:hint="eastAsia"/>
          <w:sz w:val="24"/>
          <w:szCs w:val="24"/>
        </w:rPr>
        <w:t>宁银理财有限责任公司（以下简称“乙方”）与其发行理财产品的购买方（以下简称“甲方”）经平等友好协商，本着自愿、诚实信用的原则，就甲方</w:t>
      </w:r>
      <w:r w:rsidRPr="00B5057A">
        <w:rPr>
          <w:rFonts w:ascii="宋体" w:eastAsia="宋体" w:hAnsi="宋体" w:cs="Times New Roman"/>
          <w:sz w:val="24"/>
          <w:szCs w:val="24"/>
        </w:rPr>
        <w:t>投资乙方发行管理的本</w:t>
      </w:r>
      <w:r w:rsidRPr="00B5057A">
        <w:rPr>
          <w:rFonts w:ascii="宋体" w:eastAsia="宋体" w:hAnsi="宋体" w:cs="Times New Roman" w:hint="eastAsia"/>
          <w:sz w:val="24"/>
          <w:szCs w:val="24"/>
        </w:rPr>
        <w:t>理财</w:t>
      </w:r>
      <w:r w:rsidRPr="00B5057A">
        <w:rPr>
          <w:rFonts w:ascii="宋体" w:eastAsia="宋体" w:hAnsi="宋体" w:cs="Times New Roman"/>
          <w:sz w:val="24"/>
          <w:szCs w:val="24"/>
        </w:rPr>
        <w:t>产品、接受乙方提供</w:t>
      </w:r>
      <w:r w:rsidRPr="00B5057A">
        <w:rPr>
          <w:rFonts w:ascii="宋体" w:eastAsia="宋体" w:hAnsi="宋体" w:cs="Times New Roman" w:hint="eastAsia"/>
          <w:sz w:val="24"/>
          <w:szCs w:val="24"/>
        </w:rPr>
        <w:t>的本</w:t>
      </w:r>
      <w:r w:rsidRPr="00B5057A">
        <w:rPr>
          <w:rFonts w:ascii="宋体" w:eastAsia="宋体" w:hAnsi="宋体" w:cs="Times New Roman"/>
          <w:sz w:val="24"/>
          <w:szCs w:val="24"/>
        </w:rPr>
        <w:t>理财</w:t>
      </w:r>
      <w:r w:rsidRPr="00B5057A">
        <w:rPr>
          <w:rFonts w:ascii="宋体" w:eastAsia="宋体" w:hAnsi="宋体" w:cs="Times New Roman" w:hint="eastAsia"/>
          <w:sz w:val="24"/>
          <w:szCs w:val="24"/>
        </w:rPr>
        <w:t>产品</w:t>
      </w:r>
      <w:r w:rsidRPr="00B5057A">
        <w:rPr>
          <w:rFonts w:ascii="宋体" w:eastAsia="宋体" w:hAnsi="宋体" w:cs="Times New Roman"/>
          <w:sz w:val="24"/>
          <w:szCs w:val="24"/>
        </w:rPr>
        <w:t>相关</w:t>
      </w:r>
      <w:r w:rsidRPr="00B5057A">
        <w:rPr>
          <w:rFonts w:ascii="宋体" w:eastAsia="宋体" w:hAnsi="宋体" w:cs="Times New Roman" w:hint="eastAsia"/>
          <w:sz w:val="24"/>
          <w:szCs w:val="24"/>
        </w:rPr>
        <w:t>的投资</w:t>
      </w:r>
      <w:r w:rsidRPr="00B5057A">
        <w:rPr>
          <w:rFonts w:ascii="宋体" w:eastAsia="宋体" w:hAnsi="宋体" w:cs="Times New Roman"/>
          <w:sz w:val="24"/>
          <w:szCs w:val="24"/>
        </w:rPr>
        <w:t>服务等事宜，</w:t>
      </w:r>
      <w:r w:rsidRPr="00B5057A">
        <w:rPr>
          <w:rFonts w:ascii="宋体" w:eastAsia="宋体" w:hAnsi="宋体" w:cs="Times New Roman" w:hint="eastAsia"/>
          <w:sz w:val="24"/>
          <w:szCs w:val="24"/>
        </w:rPr>
        <w:t>达成如下协议（以下简称“本协议”）：</w:t>
      </w:r>
    </w:p>
    <w:p w14:paraId="2E855538" w14:textId="77777777" w:rsidR="005E3442" w:rsidRPr="00B5057A" w:rsidRDefault="005E3442" w:rsidP="005E3442">
      <w:pPr>
        <w:pStyle w:val="a"/>
        <w:numPr>
          <w:ilvl w:val="0"/>
          <w:numId w:val="4"/>
        </w:numPr>
        <w:spacing w:line="360" w:lineRule="auto"/>
        <w:rPr>
          <w:rFonts w:ascii="宋体" w:eastAsia="宋体" w:hAnsi="宋体" w:cs="Times New Roman"/>
          <w:b/>
          <w:sz w:val="24"/>
          <w:szCs w:val="24"/>
        </w:rPr>
      </w:pPr>
      <w:r w:rsidRPr="00B5057A">
        <w:rPr>
          <w:rFonts w:ascii="宋体" w:eastAsia="宋体" w:hAnsi="宋体" w:cs="Times New Roman" w:hint="eastAsia"/>
          <w:b/>
          <w:sz w:val="24"/>
          <w:szCs w:val="24"/>
        </w:rPr>
        <w:t>重要提示</w:t>
      </w:r>
    </w:p>
    <w:p w14:paraId="4C2322DB" w14:textId="77777777" w:rsidR="005E3442" w:rsidRPr="00B5057A" w:rsidRDefault="005E3442" w:rsidP="005E3442">
      <w:pPr>
        <w:pStyle w:val="a"/>
        <w:spacing w:line="360" w:lineRule="auto"/>
        <w:ind w:firstLineChars="200" w:firstLine="482"/>
        <w:rPr>
          <w:rFonts w:ascii="宋体" w:eastAsia="宋体" w:hAnsi="宋体" w:cs="Times New Roman"/>
          <w:sz w:val="24"/>
          <w:szCs w:val="24"/>
        </w:rPr>
      </w:pPr>
      <w:r w:rsidRPr="00B5057A">
        <w:rPr>
          <w:rFonts w:ascii="宋体" w:eastAsia="宋体" w:hAnsi="宋体" w:cs="Times New Roman" w:hint="eastAsia"/>
          <w:b/>
          <w:sz w:val="24"/>
          <w:szCs w:val="24"/>
        </w:rPr>
        <w:t>理财非存款、产品有风险、投资须谨慎。</w:t>
      </w:r>
      <w:r w:rsidRPr="00B5057A">
        <w:rPr>
          <w:rFonts w:ascii="宋体" w:eastAsia="宋体" w:hAnsi="宋体" w:cs="Times New Roman" w:hint="eastAsia"/>
          <w:sz w:val="24"/>
          <w:szCs w:val="24"/>
        </w:rPr>
        <w:t>投资理财产品可能面临包括但不限于信用风险、市场风险、流动性风险、政策风险等风险，详见本理财产品的《理财产品说明书》和《风险揭示书》。甲方应仔细阅读并充分理解本理财产品的《理财产品说明书》和《风险揭示书》的详细条款并充分理解理财投资可能发生的风险。</w:t>
      </w:r>
    </w:p>
    <w:p w14:paraId="7AFCF968" w14:textId="1DB1B16F" w:rsidR="005E3442" w:rsidRPr="00B5057A" w:rsidRDefault="00BE6228" w:rsidP="005E3442">
      <w:pPr>
        <w:pStyle w:val="a"/>
        <w:spacing w:line="360" w:lineRule="auto"/>
        <w:ind w:firstLineChars="200" w:firstLine="482"/>
        <w:rPr>
          <w:rFonts w:ascii="宋体" w:eastAsia="宋体" w:hAnsi="宋体" w:cs="Times New Roman"/>
          <w:b/>
          <w:sz w:val="24"/>
          <w:szCs w:val="24"/>
        </w:rPr>
      </w:pPr>
      <w:r w:rsidRPr="00BE6228">
        <w:rPr>
          <w:rFonts w:ascii="宋体" w:eastAsia="宋体" w:hAnsi="宋体" w:cs="Times New Roman" w:hint="eastAsia"/>
          <w:b/>
          <w:bCs/>
          <w:sz w:val="24"/>
          <w:szCs w:val="24"/>
        </w:rPr>
        <w:t>理财产品过往业绩不代表其未来表现，不等于理财产品实际收益，投资须谨慎。</w:t>
      </w:r>
      <w:r w:rsidR="005E3442" w:rsidRPr="00B5057A">
        <w:rPr>
          <w:rFonts w:ascii="宋体" w:eastAsia="宋体" w:hAnsi="宋体" w:cs="Times New Roman"/>
          <w:b/>
          <w:bCs/>
          <w:sz w:val="24"/>
          <w:szCs w:val="24"/>
        </w:rPr>
        <w:t>在任何情况下，乙方公布的产品业绩比较基准</w:t>
      </w:r>
      <w:r>
        <w:rPr>
          <w:rFonts w:ascii="宋体" w:eastAsia="宋体" w:hAnsi="宋体" w:cs="Times New Roman" w:hint="eastAsia"/>
          <w:b/>
          <w:bCs/>
          <w:sz w:val="24"/>
          <w:szCs w:val="24"/>
        </w:rPr>
        <w:t>及产品过往业绩</w:t>
      </w:r>
      <w:r w:rsidR="005E3442" w:rsidRPr="00B5057A">
        <w:rPr>
          <w:rFonts w:ascii="宋体" w:eastAsia="宋体" w:hAnsi="宋体" w:cs="Times New Roman"/>
          <w:b/>
          <w:bCs/>
          <w:sz w:val="24"/>
          <w:szCs w:val="24"/>
        </w:rPr>
        <w:t>仅供甲方参考，不</w:t>
      </w:r>
      <w:r w:rsidR="005E3442" w:rsidRPr="00B5057A">
        <w:rPr>
          <w:rFonts w:ascii="宋体" w:eastAsia="宋体" w:hAnsi="宋体" w:cs="Times New Roman" w:hint="eastAsia"/>
          <w:b/>
          <w:bCs/>
          <w:sz w:val="24"/>
          <w:szCs w:val="24"/>
        </w:rPr>
        <w:t>代表甲方可获得的实际收益，不代表产品的未来表现，亦不构成乙方保证甲方获得业绩比较基准</w:t>
      </w:r>
      <w:r>
        <w:rPr>
          <w:rFonts w:ascii="宋体" w:eastAsia="宋体" w:hAnsi="宋体" w:cs="Times New Roman" w:hint="eastAsia"/>
          <w:b/>
          <w:bCs/>
          <w:sz w:val="24"/>
          <w:szCs w:val="24"/>
        </w:rPr>
        <w:t>或过往业绩</w:t>
      </w:r>
      <w:r w:rsidR="005E3442" w:rsidRPr="00B5057A">
        <w:rPr>
          <w:rFonts w:ascii="宋体" w:eastAsia="宋体" w:hAnsi="宋体" w:cs="Times New Roman" w:hint="eastAsia"/>
          <w:b/>
          <w:bCs/>
          <w:sz w:val="24"/>
          <w:szCs w:val="24"/>
        </w:rPr>
        <w:t>反映的收益率的承诺，甲方是在充分认识投资风险的基础上，凭借自身判断，独立、自愿购买理财产品，谨慎投资</w:t>
      </w:r>
      <w:r w:rsidR="005E3442" w:rsidRPr="00B5057A">
        <w:rPr>
          <w:rFonts w:ascii="宋体" w:eastAsia="宋体" w:hAnsi="宋体" w:cs="Times New Roman" w:hint="eastAsia"/>
          <w:b/>
          <w:sz w:val="24"/>
          <w:szCs w:val="24"/>
        </w:rPr>
        <w:t>。</w:t>
      </w:r>
    </w:p>
    <w:p w14:paraId="55F9006B" w14:textId="77777777" w:rsidR="005E3442" w:rsidRPr="00B5057A" w:rsidRDefault="005E3442" w:rsidP="005E3442">
      <w:pPr>
        <w:pStyle w:val="a"/>
        <w:spacing w:line="360" w:lineRule="auto"/>
        <w:ind w:firstLineChars="200" w:firstLine="480"/>
        <w:rPr>
          <w:rFonts w:ascii="宋体" w:eastAsia="宋体" w:hAnsi="宋体" w:cs="Times New Roman"/>
          <w:sz w:val="24"/>
          <w:szCs w:val="24"/>
        </w:rPr>
      </w:pPr>
      <w:r w:rsidRPr="00B5057A">
        <w:rPr>
          <w:rFonts w:ascii="宋体" w:eastAsia="宋体" w:hAnsi="宋体" w:cs="Times New Roman" w:hint="eastAsia"/>
          <w:sz w:val="24"/>
          <w:szCs w:val="24"/>
        </w:rPr>
        <w:t>本协议与本理财产品的《理财产品说明书》、《风险揭示书》、《销售（代理销售）协议书》、《投资者权益须知》等理财产品销售文件共同构成一份完整且不可分割的、关于甲方所投资乙方理财产品的全部协议，前述理财产品</w:t>
      </w:r>
      <w:r w:rsidRPr="00B5057A">
        <w:rPr>
          <w:rFonts w:ascii="宋体" w:eastAsia="宋体" w:hAnsi="宋体" w:cs="Times New Roman"/>
          <w:sz w:val="24"/>
          <w:szCs w:val="24"/>
        </w:rPr>
        <w:t>销售文件</w:t>
      </w:r>
      <w:r w:rsidRPr="00B5057A">
        <w:rPr>
          <w:rFonts w:ascii="宋体" w:eastAsia="宋体" w:hAnsi="宋体" w:cs="Times New Roman" w:hint="eastAsia"/>
          <w:sz w:val="24"/>
          <w:szCs w:val="24"/>
        </w:rPr>
        <w:t>具有同等法律效力。本协议未及事项，包括但不限于理财产品的认（申）购、赎回等相关事项，以《理财产品说明书》等理财产品销售文件</w:t>
      </w:r>
      <w:r w:rsidRPr="00B5057A">
        <w:rPr>
          <w:rFonts w:ascii="宋体" w:eastAsia="宋体" w:hAnsi="宋体" w:cs="Times New Roman"/>
          <w:sz w:val="24"/>
          <w:szCs w:val="24"/>
        </w:rPr>
        <w:t>具体</w:t>
      </w:r>
      <w:r w:rsidRPr="00B5057A">
        <w:rPr>
          <w:rFonts w:ascii="宋体" w:eastAsia="宋体" w:hAnsi="宋体" w:cs="Times New Roman" w:hint="eastAsia"/>
          <w:sz w:val="24"/>
          <w:szCs w:val="24"/>
        </w:rPr>
        <w:t>约定为准。本协议与《理财产品说明书》不一致的，以《理财产品说明书》为准。</w:t>
      </w:r>
    </w:p>
    <w:p w14:paraId="4C91E99A" w14:textId="77777777" w:rsidR="005E3442" w:rsidRPr="00B5057A" w:rsidRDefault="005E3442" w:rsidP="005E3442">
      <w:pPr>
        <w:pStyle w:val="a"/>
        <w:numPr>
          <w:ilvl w:val="0"/>
          <w:numId w:val="4"/>
        </w:numPr>
        <w:spacing w:line="360" w:lineRule="auto"/>
        <w:rPr>
          <w:rFonts w:ascii="宋体" w:eastAsia="宋体" w:hAnsi="宋体" w:cs="Times New Roman"/>
          <w:b/>
          <w:sz w:val="24"/>
          <w:szCs w:val="24"/>
        </w:rPr>
      </w:pPr>
      <w:r w:rsidRPr="00B5057A">
        <w:rPr>
          <w:rFonts w:ascii="宋体" w:eastAsia="宋体" w:hAnsi="宋体" w:cs="Times New Roman" w:hint="eastAsia"/>
          <w:b/>
          <w:sz w:val="24"/>
          <w:szCs w:val="24"/>
        </w:rPr>
        <w:t>甲方声明</w:t>
      </w:r>
    </w:p>
    <w:p w14:paraId="14BBA5E5" w14:textId="77777777" w:rsidR="005E3442" w:rsidRPr="00B5057A" w:rsidRDefault="005E3442" w:rsidP="005E3442">
      <w:pPr>
        <w:pStyle w:val="a"/>
        <w:spacing w:line="360" w:lineRule="auto"/>
        <w:ind w:firstLineChars="200" w:firstLine="480"/>
        <w:rPr>
          <w:rFonts w:ascii="宋体" w:eastAsia="宋体" w:hAnsi="宋体" w:cs="Times New Roman"/>
          <w:sz w:val="24"/>
          <w:szCs w:val="24"/>
        </w:rPr>
      </w:pPr>
      <w:r w:rsidRPr="00B5057A">
        <w:rPr>
          <w:rFonts w:ascii="宋体" w:eastAsia="宋体" w:hAnsi="宋体" w:cs="Times New Roman" w:hint="eastAsia"/>
          <w:sz w:val="24"/>
          <w:szCs w:val="24"/>
        </w:rPr>
        <w:t>1、甲方保证其为具有完全民事行为能力的自然人；或为依法设立并合法存续的法人、依法成立的其他组织（以下统称“机构投资者”）；或为符合《关于规范金融机构资产管理业务的指导意见》规定的资产管理产品。甲方</w:t>
      </w:r>
      <w:r w:rsidRPr="00B5057A">
        <w:rPr>
          <w:rFonts w:ascii="宋体" w:eastAsia="宋体" w:hAnsi="宋体" w:cs="Times New Roman"/>
          <w:sz w:val="24"/>
          <w:szCs w:val="24"/>
        </w:rPr>
        <w:t>为资产管理产品的，甲方投资本理财产品不</w:t>
      </w:r>
      <w:r w:rsidRPr="00B5057A">
        <w:rPr>
          <w:rFonts w:ascii="宋体" w:eastAsia="宋体" w:hAnsi="宋体" w:cs="Times New Roman" w:hint="eastAsia"/>
          <w:sz w:val="24"/>
          <w:szCs w:val="24"/>
        </w:rPr>
        <w:t>存在</w:t>
      </w:r>
      <w:r w:rsidRPr="00B5057A">
        <w:rPr>
          <w:rFonts w:ascii="宋体" w:eastAsia="宋体" w:hAnsi="宋体" w:cs="Times New Roman"/>
          <w:sz w:val="24"/>
          <w:szCs w:val="24"/>
        </w:rPr>
        <w:t>违反</w:t>
      </w:r>
      <w:r w:rsidRPr="00B5057A">
        <w:rPr>
          <w:rFonts w:ascii="宋体" w:eastAsia="宋体" w:hAnsi="宋体" w:cs="Times New Roman" w:hint="eastAsia"/>
          <w:sz w:val="24"/>
          <w:szCs w:val="24"/>
        </w:rPr>
        <w:t>监管要求</w:t>
      </w:r>
      <w:r w:rsidRPr="00B5057A">
        <w:rPr>
          <w:rFonts w:ascii="宋体" w:eastAsia="宋体" w:hAnsi="宋体" w:cs="Times New Roman"/>
          <w:sz w:val="24"/>
          <w:szCs w:val="24"/>
        </w:rPr>
        <w:t>的多层嵌套</w:t>
      </w:r>
      <w:r w:rsidRPr="00B5057A">
        <w:rPr>
          <w:rFonts w:ascii="宋体" w:eastAsia="宋体" w:hAnsi="宋体" w:cs="Times New Roman" w:hint="eastAsia"/>
          <w:sz w:val="24"/>
          <w:szCs w:val="24"/>
        </w:rPr>
        <w:t>、</w:t>
      </w:r>
      <w:r w:rsidRPr="00B5057A">
        <w:rPr>
          <w:rFonts w:ascii="宋体" w:eastAsia="宋体" w:hAnsi="宋体" w:cs="Times New Roman"/>
          <w:sz w:val="24"/>
          <w:szCs w:val="24"/>
        </w:rPr>
        <w:t>规避投资范围、杠</w:t>
      </w:r>
      <w:r w:rsidRPr="00B5057A">
        <w:rPr>
          <w:rFonts w:ascii="宋体" w:eastAsia="宋体" w:hAnsi="宋体" w:cs="Times New Roman"/>
          <w:sz w:val="24"/>
          <w:szCs w:val="24"/>
        </w:rPr>
        <w:lastRenderedPageBreak/>
        <w:t>杆约束等</w:t>
      </w:r>
      <w:r w:rsidRPr="00B5057A">
        <w:rPr>
          <w:rFonts w:ascii="宋体" w:eastAsia="宋体" w:hAnsi="宋体" w:cs="Times New Roman" w:hint="eastAsia"/>
          <w:sz w:val="24"/>
          <w:szCs w:val="24"/>
        </w:rPr>
        <w:t>违规</w:t>
      </w:r>
      <w:r w:rsidRPr="00B5057A">
        <w:rPr>
          <w:rFonts w:ascii="宋体" w:eastAsia="宋体" w:hAnsi="宋体" w:cs="Times New Roman"/>
          <w:sz w:val="24"/>
          <w:szCs w:val="24"/>
        </w:rPr>
        <w:t>行为</w:t>
      </w:r>
      <w:r w:rsidRPr="00B5057A">
        <w:rPr>
          <w:rFonts w:ascii="宋体" w:eastAsia="宋体" w:hAnsi="宋体" w:cs="Times New Roman" w:hint="eastAsia"/>
          <w:sz w:val="24"/>
          <w:szCs w:val="24"/>
        </w:rPr>
        <w:t>。</w:t>
      </w:r>
    </w:p>
    <w:p w14:paraId="7DD7F9B6" w14:textId="77777777" w:rsidR="005E3442" w:rsidRPr="00B5057A" w:rsidRDefault="005E3442" w:rsidP="005E3442">
      <w:pPr>
        <w:pStyle w:val="a"/>
        <w:spacing w:line="360" w:lineRule="auto"/>
        <w:ind w:firstLineChars="200" w:firstLine="480"/>
        <w:rPr>
          <w:rFonts w:ascii="宋体" w:eastAsia="宋体" w:hAnsi="宋体" w:cs="Times New Roman"/>
          <w:sz w:val="24"/>
          <w:szCs w:val="24"/>
        </w:rPr>
      </w:pPr>
      <w:r w:rsidRPr="00B5057A">
        <w:rPr>
          <w:rFonts w:ascii="宋体" w:eastAsia="宋体" w:hAnsi="宋体" w:cs="Times New Roman"/>
          <w:sz w:val="24"/>
          <w:szCs w:val="24"/>
        </w:rPr>
        <w:t>2、甲方保证签署和履行本协议系基于甲方的真实意愿，且不会违反对甲方</w:t>
      </w:r>
      <w:r w:rsidRPr="00B5057A">
        <w:rPr>
          <w:rFonts w:ascii="宋体" w:eastAsia="宋体" w:hAnsi="宋体" w:cs="Times New Roman" w:hint="eastAsia"/>
          <w:sz w:val="24"/>
          <w:szCs w:val="24"/>
        </w:rPr>
        <w:t>有约束力的任何协议、合同或其他法律文件。机构投资者及资产管理产品投资者已经按照其章程或者其它内部管理文件的要求取得合法、有效的授权。甲方就签订和履行本协议已经取得所需的一切有关批准、许可、备案或者登记，甲方具有完全适当的资格与能力签订及履行本协议以及以其为一方当事人的任何有关理财产品销售文件。</w:t>
      </w:r>
    </w:p>
    <w:p w14:paraId="6193ABCF" w14:textId="77777777" w:rsidR="005E3442" w:rsidRPr="00B5057A" w:rsidRDefault="005E3442" w:rsidP="005E3442">
      <w:pPr>
        <w:pStyle w:val="a"/>
        <w:spacing w:line="360" w:lineRule="auto"/>
        <w:ind w:firstLineChars="200" w:firstLine="480"/>
        <w:rPr>
          <w:rFonts w:ascii="宋体" w:eastAsia="宋体" w:hAnsi="宋体" w:cs="Times New Roman"/>
          <w:b/>
          <w:sz w:val="24"/>
          <w:szCs w:val="24"/>
        </w:rPr>
      </w:pPr>
      <w:r w:rsidRPr="00B5057A">
        <w:rPr>
          <w:rFonts w:ascii="宋体" w:eastAsia="宋体" w:hAnsi="宋体" w:cs="Times New Roman" w:hint="eastAsia"/>
          <w:sz w:val="24"/>
          <w:szCs w:val="24"/>
        </w:rPr>
        <w:t>3、甲方接受并签署《理财产品说明书》、《风险揭示书》、《销售（代理销售）协议书》、《投资协议书》、《投资者权益须知》等理财产品销售文件，对有关条款不存在任何疑问或异议；</w:t>
      </w:r>
      <w:r w:rsidRPr="00890583">
        <w:rPr>
          <w:rFonts w:ascii="宋体" w:eastAsia="宋体" w:hAnsi="宋体" w:cs="Times New Roman" w:hint="eastAsia"/>
          <w:b/>
          <w:bCs/>
          <w:sz w:val="24"/>
          <w:szCs w:val="24"/>
        </w:rPr>
        <w:t>甲方已清楚知悉并同意理财产品销售文件项下理财产品的投资管理等行为由乙方负责实施，完全知晓产品可能出现的各种风险，愿意并能够承担风险。</w:t>
      </w:r>
      <w:r w:rsidRPr="00B5057A">
        <w:rPr>
          <w:rFonts w:ascii="宋体" w:eastAsia="宋体" w:hAnsi="宋体" w:cs="Times New Roman" w:hint="eastAsia"/>
          <w:b/>
          <w:sz w:val="24"/>
          <w:szCs w:val="24"/>
        </w:rPr>
        <w:t>乙方向甲方提供的市场分析和测算仅供参考，甲方据此做出的任何决策均出于甲方自身的判断，并自愿承担所购买（或赎回、撤单等其他行为）理财产品所产生</w:t>
      </w:r>
      <w:r w:rsidRPr="00B5057A">
        <w:rPr>
          <w:rFonts w:ascii="宋体" w:eastAsia="宋体" w:hAnsi="宋体" w:cs="Times New Roman"/>
          <w:b/>
          <w:sz w:val="24"/>
          <w:szCs w:val="24"/>
        </w:rPr>
        <w:t>的相关风险和全部后果，</w:t>
      </w:r>
      <w:r w:rsidRPr="00B5057A">
        <w:rPr>
          <w:rFonts w:ascii="宋体" w:eastAsia="宋体" w:hAnsi="宋体" w:cs="Times New Roman" w:hint="eastAsia"/>
          <w:b/>
          <w:sz w:val="24"/>
          <w:szCs w:val="24"/>
        </w:rPr>
        <w:t>乙方不承担任何责任。</w:t>
      </w:r>
    </w:p>
    <w:p w14:paraId="7933053A" w14:textId="77777777" w:rsidR="005E3442" w:rsidRPr="00B5057A" w:rsidRDefault="005E3442" w:rsidP="005E3442">
      <w:pPr>
        <w:pStyle w:val="a"/>
        <w:spacing w:line="360" w:lineRule="auto"/>
        <w:ind w:firstLineChars="200" w:firstLine="480"/>
        <w:rPr>
          <w:rFonts w:ascii="宋体" w:eastAsia="宋体" w:hAnsi="宋体" w:cs="Times New Roman"/>
          <w:sz w:val="24"/>
          <w:szCs w:val="24"/>
        </w:rPr>
      </w:pPr>
      <w:r w:rsidRPr="00B5057A">
        <w:rPr>
          <w:rFonts w:ascii="宋体" w:eastAsia="宋体" w:hAnsi="宋体" w:cs="Times New Roman"/>
          <w:sz w:val="24"/>
          <w:szCs w:val="24"/>
        </w:rPr>
        <w:t>4、</w:t>
      </w:r>
      <w:r w:rsidRPr="00890583">
        <w:rPr>
          <w:rFonts w:ascii="宋体" w:eastAsia="宋体" w:hAnsi="宋体" w:cs="Times New Roman" w:hint="eastAsia"/>
          <w:b/>
          <w:bCs/>
          <w:sz w:val="24"/>
          <w:szCs w:val="24"/>
        </w:rPr>
        <w:t>甲方购买理财产品的资金为合法自有资金或合法募集资金，不存在使用贷款、发行债券等筹集的非自有资金投资资产管理产品的情形。甲方承诺投资理财产品使用的资金来源合法合</w:t>
      </w:r>
      <w:proofErr w:type="gramStart"/>
      <w:r w:rsidRPr="00890583">
        <w:rPr>
          <w:rFonts w:ascii="宋体" w:eastAsia="宋体" w:hAnsi="宋体" w:cs="Times New Roman" w:hint="eastAsia"/>
          <w:b/>
          <w:bCs/>
          <w:sz w:val="24"/>
          <w:szCs w:val="24"/>
        </w:rPr>
        <w:t>规</w:t>
      </w:r>
      <w:proofErr w:type="gramEnd"/>
      <w:r w:rsidRPr="00890583">
        <w:rPr>
          <w:rFonts w:ascii="宋体" w:eastAsia="宋体" w:hAnsi="宋体" w:cs="Times New Roman" w:hint="eastAsia"/>
          <w:b/>
          <w:bCs/>
          <w:sz w:val="24"/>
          <w:szCs w:val="24"/>
        </w:rPr>
        <w:t>，并且系为合法之目的投资本理财产品，而非为洗钱等违法犯罪之目的。</w:t>
      </w:r>
      <w:r w:rsidRPr="00B5057A">
        <w:rPr>
          <w:rFonts w:ascii="宋体" w:eastAsia="宋体" w:hAnsi="宋体" w:cs="Times New Roman" w:hint="eastAsia"/>
          <w:sz w:val="24"/>
          <w:szCs w:val="24"/>
        </w:rPr>
        <w:t>甲方将配合乙方及代理销售机构开展</w:t>
      </w:r>
      <w:r w:rsidRPr="00B5057A">
        <w:rPr>
          <w:rFonts w:ascii="宋体" w:eastAsia="宋体" w:hAnsi="宋体" w:cs="Times New Roman"/>
          <w:sz w:val="24"/>
          <w:szCs w:val="24"/>
        </w:rPr>
        <w:t>反洗钱、反恐怖融资及非居民金融账户涉税信息尽职调查等相关法律</w:t>
      </w:r>
      <w:r w:rsidRPr="00B5057A">
        <w:rPr>
          <w:rFonts w:ascii="宋体" w:eastAsia="宋体" w:hAnsi="宋体" w:cs="Times New Roman" w:hint="eastAsia"/>
          <w:sz w:val="24"/>
          <w:szCs w:val="24"/>
        </w:rPr>
        <w:t>、</w:t>
      </w:r>
      <w:r w:rsidRPr="00B5057A">
        <w:rPr>
          <w:rFonts w:ascii="宋体" w:eastAsia="宋体" w:hAnsi="宋体" w:cs="Times New Roman"/>
          <w:sz w:val="24"/>
          <w:szCs w:val="24"/>
        </w:rPr>
        <w:t>法规</w:t>
      </w:r>
      <w:r w:rsidRPr="00B5057A">
        <w:rPr>
          <w:rFonts w:ascii="宋体" w:eastAsia="宋体" w:hAnsi="宋体" w:cs="Times New Roman" w:hint="eastAsia"/>
          <w:sz w:val="24"/>
          <w:szCs w:val="24"/>
        </w:rPr>
        <w:t>及</w:t>
      </w:r>
      <w:r w:rsidRPr="00B5057A">
        <w:rPr>
          <w:rFonts w:ascii="宋体" w:eastAsia="宋体" w:hAnsi="宋体" w:cs="Times New Roman"/>
          <w:sz w:val="24"/>
          <w:szCs w:val="24"/>
        </w:rPr>
        <w:t>监管规定要求的工作，及时、真实、准确、完整地提供身份信息及资金来源信息。</w:t>
      </w:r>
    </w:p>
    <w:p w14:paraId="355C8AE4" w14:textId="77777777" w:rsidR="005E3442" w:rsidRPr="00B5057A" w:rsidRDefault="005E3442" w:rsidP="005E3442">
      <w:pPr>
        <w:pStyle w:val="a"/>
        <w:spacing w:line="360" w:lineRule="auto"/>
        <w:ind w:firstLineChars="200" w:firstLine="482"/>
        <w:rPr>
          <w:rFonts w:ascii="宋体" w:eastAsia="宋体" w:hAnsi="宋体" w:cs="Times New Roman"/>
          <w:b/>
          <w:sz w:val="24"/>
          <w:szCs w:val="24"/>
        </w:rPr>
      </w:pPr>
      <w:r w:rsidRPr="00B5057A">
        <w:rPr>
          <w:rFonts w:ascii="宋体" w:eastAsia="宋体" w:hAnsi="宋体" w:cs="Times New Roman" w:hint="eastAsia"/>
          <w:b/>
          <w:sz w:val="24"/>
          <w:szCs w:val="24"/>
        </w:rPr>
        <w:t>第三条</w:t>
      </w:r>
      <w:r w:rsidRPr="00B5057A">
        <w:rPr>
          <w:rFonts w:ascii="宋体" w:eastAsia="宋体" w:hAnsi="宋体" w:cs="Times New Roman"/>
          <w:b/>
          <w:sz w:val="24"/>
          <w:szCs w:val="24"/>
        </w:rPr>
        <w:t xml:space="preserve"> </w:t>
      </w:r>
      <w:r w:rsidRPr="00B5057A">
        <w:rPr>
          <w:rFonts w:ascii="宋体" w:eastAsia="宋体" w:hAnsi="宋体" w:cs="Times New Roman" w:hint="eastAsia"/>
          <w:b/>
          <w:sz w:val="24"/>
          <w:szCs w:val="24"/>
        </w:rPr>
        <w:t>双方权利与义务</w:t>
      </w:r>
    </w:p>
    <w:p w14:paraId="3A491A61" w14:textId="77777777" w:rsidR="005E3442" w:rsidRPr="00B5057A" w:rsidRDefault="005E3442" w:rsidP="005E3442">
      <w:pPr>
        <w:pStyle w:val="a"/>
        <w:widowControl/>
        <w:numPr>
          <w:ilvl w:val="0"/>
          <w:numId w:val="5"/>
        </w:numPr>
        <w:jc w:val="left"/>
        <w:rPr>
          <w:rFonts w:ascii="宋体" w:eastAsia="宋体" w:hAnsi="宋体" w:cs="Times New Roman"/>
          <w:b/>
          <w:sz w:val="24"/>
          <w:szCs w:val="24"/>
        </w:rPr>
      </w:pPr>
      <w:r w:rsidRPr="00B5057A">
        <w:rPr>
          <w:rFonts w:ascii="宋体" w:eastAsia="宋体" w:hAnsi="宋体" w:cs="Times New Roman" w:hint="eastAsia"/>
          <w:b/>
          <w:sz w:val="24"/>
          <w:szCs w:val="24"/>
        </w:rPr>
        <w:t>甲方权利与义务</w:t>
      </w:r>
    </w:p>
    <w:p w14:paraId="2185D501" w14:textId="77777777" w:rsidR="005E3442" w:rsidRPr="00B5057A" w:rsidRDefault="005E3442" w:rsidP="005E3442">
      <w:pPr>
        <w:pStyle w:val="a"/>
        <w:spacing w:line="360" w:lineRule="auto"/>
        <w:ind w:firstLineChars="200" w:firstLine="480"/>
        <w:rPr>
          <w:rFonts w:ascii="宋体" w:eastAsia="宋体" w:hAnsi="宋体" w:cs="Times New Roman"/>
          <w:sz w:val="24"/>
          <w:szCs w:val="24"/>
        </w:rPr>
      </w:pPr>
      <w:r w:rsidRPr="00B5057A">
        <w:rPr>
          <w:rFonts w:ascii="宋体" w:eastAsia="宋体" w:hAnsi="宋体" w:cs="Times New Roman"/>
          <w:sz w:val="24"/>
          <w:szCs w:val="24"/>
        </w:rPr>
        <w:t>1</w:t>
      </w:r>
      <w:r w:rsidRPr="00B5057A">
        <w:rPr>
          <w:rFonts w:ascii="宋体" w:eastAsia="宋体" w:hAnsi="宋体" w:cs="Times New Roman" w:hint="eastAsia"/>
          <w:sz w:val="24"/>
          <w:szCs w:val="24"/>
        </w:rPr>
        <w:t>、甲方有权依照《理财产品说明书》等理财</w:t>
      </w:r>
      <w:r w:rsidRPr="00B5057A">
        <w:rPr>
          <w:rFonts w:ascii="宋体" w:eastAsia="宋体" w:hAnsi="宋体" w:cs="Times New Roman"/>
          <w:sz w:val="24"/>
          <w:szCs w:val="24"/>
        </w:rPr>
        <w:t>产品销售文件</w:t>
      </w:r>
      <w:r w:rsidRPr="00B5057A">
        <w:rPr>
          <w:rFonts w:ascii="宋体" w:eastAsia="宋体" w:hAnsi="宋体" w:cs="Times New Roman" w:hint="eastAsia"/>
          <w:sz w:val="24"/>
          <w:szCs w:val="24"/>
        </w:rPr>
        <w:t>的约定获得投资收益，在约定的投资期内，投资本金不另计存款利息。</w:t>
      </w:r>
    </w:p>
    <w:p w14:paraId="26495212" w14:textId="77777777" w:rsidR="005E3442" w:rsidRPr="00B5057A" w:rsidRDefault="005E3442" w:rsidP="005E3442">
      <w:pPr>
        <w:pStyle w:val="a"/>
        <w:spacing w:line="360" w:lineRule="auto"/>
        <w:ind w:firstLineChars="200" w:firstLine="480"/>
        <w:rPr>
          <w:rFonts w:ascii="宋体" w:eastAsia="宋体" w:hAnsi="宋体" w:cs="Times New Roman"/>
          <w:sz w:val="24"/>
          <w:szCs w:val="24"/>
        </w:rPr>
      </w:pPr>
      <w:r w:rsidRPr="00B5057A">
        <w:rPr>
          <w:rFonts w:ascii="宋体" w:eastAsia="宋体" w:hAnsi="宋体" w:cs="Times New Roman" w:hint="eastAsia"/>
          <w:sz w:val="24"/>
          <w:szCs w:val="24"/>
        </w:rPr>
        <w:t>2、甲方承诺所提供的所有资料真实、完整、合法、有效</w:t>
      </w:r>
      <w:r w:rsidRPr="00B5057A">
        <w:rPr>
          <w:rFonts w:ascii="宋体" w:eastAsia="宋体" w:hAnsi="宋体" w:cs="Times New Roman"/>
          <w:sz w:val="24"/>
          <w:szCs w:val="24"/>
        </w:rPr>
        <w:t>，如有变更，甲方应</w:t>
      </w:r>
      <w:r w:rsidRPr="00B5057A">
        <w:rPr>
          <w:rFonts w:ascii="宋体" w:eastAsia="宋体" w:hAnsi="宋体" w:cs="Times New Roman" w:hint="eastAsia"/>
          <w:sz w:val="24"/>
          <w:szCs w:val="24"/>
        </w:rPr>
        <w:t>及时到其购买本产品的所有销售机构办理变更手续。若甲方未及时办理相关变更手续，由此导致的一切后果由甲方自行承担，乙方对此不承担任何责任。</w:t>
      </w:r>
    </w:p>
    <w:p w14:paraId="65DE33AF" w14:textId="77777777" w:rsidR="005E3442" w:rsidRPr="00B5057A" w:rsidRDefault="005E3442" w:rsidP="005E3442">
      <w:pPr>
        <w:pStyle w:val="a"/>
        <w:spacing w:line="360" w:lineRule="auto"/>
        <w:ind w:firstLineChars="200" w:firstLine="480"/>
        <w:rPr>
          <w:rFonts w:ascii="宋体" w:eastAsia="宋体" w:hAnsi="宋体" w:cs="Times New Roman"/>
          <w:sz w:val="24"/>
          <w:szCs w:val="24"/>
        </w:rPr>
      </w:pPr>
      <w:r w:rsidRPr="00B5057A">
        <w:rPr>
          <w:rFonts w:ascii="宋体" w:eastAsia="宋体" w:hAnsi="宋体" w:cs="Times New Roman"/>
          <w:sz w:val="24"/>
          <w:szCs w:val="24"/>
        </w:rPr>
        <w:t>3</w:t>
      </w:r>
      <w:r w:rsidRPr="00B5057A">
        <w:rPr>
          <w:rFonts w:ascii="宋体" w:eastAsia="宋体" w:hAnsi="宋体" w:cs="Times New Roman" w:hint="eastAsia"/>
          <w:sz w:val="24"/>
          <w:szCs w:val="24"/>
        </w:rPr>
        <w:t>、因甲方指定账户冻结、挂失、换卡、销户、长期不动户等原因造成账户变更或异常</w:t>
      </w:r>
      <w:r w:rsidRPr="00B5057A">
        <w:rPr>
          <w:rFonts w:ascii="宋体" w:eastAsia="宋体" w:hAnsi="宋体" w:cs="Times New Roman"/>
          <w:sz w:val="24"/>
          <w:szCs w:val="24"/>
        </w:rPr>
        <w:t>,甲方应及时到</w:t>
      </w:r>
      <w:r w:rsidRPr="00B5057A">
        <w:rPr>
          <w:rFonts w:ascii="宋体" w:eastAsia="宋体" w:hAnsi="宋体" w:cs="Times New Roman" w:hint="eastAsia"/>
          <w:sz w:val="24"/>
          <w:szCs w:val="24"/>
        </w:rPr>
        <w:t>其购买本产品的所有销售机构</w:t>
      </w:r>
      <w:r w:rsidRPr="00B5057A">
        <w:rPr>
          <w:rFonts w:ascii="宋体" w:eastAsia="宋体" w:hAnsi="宋体" w:cs="Times New Roman"/>
          <w:sz w:val="24"/>
          <w:szCs w:val="24"/>
        </w:rPr>
        <w:t>办理变更手续。</w:t>
      </w:r>
      <w:r w:rsidRPr="00B5057A">
        <w:rPr>
          <w:rFonts w:ascii="宋体" w:eastAsia="宋体" w:hAnsi="宋体" w:cs="Times New Roman"/>
          <w:b/>
          <w:sz w:val="24"/>
          <w:szCs w:val="24"/>
        </w:rPr>
        <w:t>如因甲方未及时办理变更手续而造成</w:t>
      </w:r>
      <w:r w:rsidRPr="00B5057A">
        <w:rPr>
          <w:rFonts w:ascii="宋体" w:eastAsia="宋体" w:hAnsi="宋体" w:cs="Times New Roman" w:hint="eastAsia"/>
          <w:b/>
          <w:sz w:val="24"/>
          <w:szCs w:val="24"/>
        </w:rPr>
        <w:t>其购买本产品的销售机构</w:t>
      </w:r>
      <w:r w:rsidRPr="00B5057A">
        <w:rPr>
          <w:rFonts w:ascii="宋体" w:eastAsia="宋体" w:hAnsi="宋体" w:cs="Times New Roman"/>
          <w:b/>
          <w:sz w:val="24"/>
          <w:szCs w:val="24"/>
        </w:rPr>
        <w:t>无法向甲方进行正常收</w:t>
      </w:r>
      <w:r w:rsidRPr="00B5057A">
        <w:rPr>
          <w:rFonts w:ascii="宋体" w:eastAsia="宋体" w:hAnsi="宋体" w:cs="Times New Roman"/>
          <w:b/>
          <w:sz w:val="24"/>
          <w:szCs w:val="24"/>
        </w:rPr>
        <w:lastRenderedPageBreak/>
        <w:t>益分配和资金清算分配</w:t>
      </w:r>
      <w:r w:rsidRPr="00B5057A">
        <w:rPr>
          <w:rFonts w:ascii="宋体" w:eastAsia="宋体" w:hAnsi="宋体" w:cs="Times New Roman" w:hint="eastAsia"/>
          <w:b/>
          <w:sz w:val="24"/>
          <w:szCs w:val="24"/>
        </w:rPr>
        <w:t>的</w:t>
      </w:r>
      <w:r w:rsidRPr="00B5057A">
        <w:rPr>
          <w:rFonts w:ascii="宋体" w:eastAsia="宋体" w:hAnsi="宋体" w:cs="Times New Roman"/>
          <w:b/>
          <w:sz w:val="24"/>
          <w:szCs w:val="24"/>
        </w:rPr>
        <w:t>,由此导致甲方损失的由甲方自行承担,乙方不承担责任。</w:t>
      </w:r>
    </w:p>
    <w:p w14:paraId="1871B4CA" w14:textId="77777777" w:rsidR="005E3442" w:rsidRPr="00B5057A" w:rsidRDefault="005E3442" w:rsidP="005E3442">
      <w:pPr>
        <w:pStyle w:val="a"/>
        <w:spacing w:line="360" w:lineRule="auto"/>
        <w:ind w:firstLineChars="200" w:firstLine="480"/>
        <w:rPr>
          <w:rFonts w:ascii="宋体" w:eastAsia="宋体" w:hAnsi="宋体" w:cs="Times New Roman"/>
          <w:sz w:val="24"/>
          <w:szCs w:val="24"/>
        </w:rPr>
      </w:pPr>
      <w:r w:rsidRPr="00B5057A">
        <w:rPr>
          <w:rFonts w:ascii="宋体" w:eastAsia="宋体" w:hAnsi="宋体" w:cs="Times New Roman"/>
          <w:sz w:val="24"/>
          <w:szCs w:val="24"/>
        </w:rPr>
        <w:t>4</w:t>
      </w:r>
      <w:r w:rsidRPr="00B5057A">
        <w:rPr>
          <w:rFonts w:ascii="宋体" w:eastAsia="宋体" w:hAnsi="宋体" w:cs="Times New Roman" w:hint="eastAsia"/>
          <w:sz w:val="24"/>
          <w:szCs w:val="24"/>
        </w:rPr>
        <w:t>、</w:t>
      </w:r>
      <w:r w:rsidRPr="00B5057A">
        <w:rPr>
          <w:rFonts w:ascii="宋体" w:eastAsia="宋体" w:hAnsi="宋体" w:cs="Times New Roman"/>
          <w:sz w:val="24"/>
          <w:szCs w:val="24"/>
        </w:rPr>
        <w:t>甲方对本协议及其条款负有保密义务，未经乙方书面许可，甲方不得向任</w:t>
      </w:r>
      <w:r w:rsidRPr="00B5057A">
        <w:rPr>
          <w:rFonts w:ascii="宋体" w:eastAsia="宋体" w:hAnsi="宋体" w:cs="Times New Roman" w:hint="eastAsia"/>
          <w:sz w:val="24"/>
          <w:szCs w:val="24"/>
        </w:rPr>
        <w:t>何组织、个人提供或泄露与乙方有关的业务资料及信息，</w:t>
      </w:r>
      <w:r w:rsidRPr="00B5057A">
        <w:rPr>
          <w:rFonts w:ascii="宋体" w:eastAsia="宋体" w:hAnsi="宋体" w:cs="Times New Roman"/>
          <w:sz w:val="24"/>
          <w:szCs w:val="24"/>
        </w:rPr>
        <w:t>法律、法规另有规</w:t>
      </w:r>
      <w:r w:rsidRPr="00B5057A">
        <w:rPr>
          <w:rFonts w:ascii="宋体" w:eastAsia="宋体" w:hAnsi="宋体" w:cs="Times New Roman" w:hint="eastAsia"/>
          <w:sz w:val="24"/>
          <w:szCs w:val="24"/>
        </w:rPr>
        <w:t>定的</w:t>
      </w:r>
      <w:r w:rsidRPr="00B5057A">
        <w:rPr>
          <w:rFonts w:ascii="宋体" w:eastAsia="宋体" w:hAnsi="宋体" w:cs="Times New Roman"/>
          <w:sz w:val="24"/>
          <w:szCs w:val="24"/>
        </w:rPr>
        <w:t>除</w:t>
      </w:r>
      <w:r w:rsidRPr="00B5057A">
        <w:rPr>
          <w:rFonts w:ascii="宋体" w:eastAsia="宋体" w:hAnsi="宋体" w:cs="Times New Roman" w:hint="eastAsia"/>
          <w:sz w:val="24"/>
          <w:szCs w:val="24"/>
        </w:rPr>
        <w:t>外。</w:t>
      </w:r>
    </w:p>
    <w:p w14:paraId="5D3178A8" w14:textId="77777777" w:rsidR="005E3442" w:rsidRPr="00B5057A" w:rsidRDefault="005E3442" w:rsidP="005E3442">
      <w:pPr>
        <w:pStyle w:val="a"/>
        <w:spacing w:line="360" w:lineRule="auto"/>
        <w:ind w:firstLineChars="200" w:firstLine="480"/>
        <w:rPr>
          <w:rFonts w:ascii="宋体" w:eastAsia="宋体" w:hAnsi="宋体" w:cs="Times New Roman"/>
          <w:sz w:val="24"/>
          <w:szCs w:val="24"/>
        </w:rPr>
      </w:pPr>
      <w:r w:rsidRPr="00B5057A">
        <w:rPr>
          <w:rFonts w:ascii="宋体" w:eastAsia="宋体" w:hAnsi="宋体" w:cs="Times New Roman"/>
          <w:sz w:val="24"/>
          <w:szCs w:val="24"/>
        </w:rPr>
        <w:t>5</w:t>
      </w:r>
      <w:r w:rsidRPr="00B5057A">
        <w:rPr>
          <w:rFonts w:ascii="宋体" w:eastAsia="宋体" w:hAnsi="宋体" w:cs="Times New Roman" w:hint="eastAsia"/>
          <w:sz w:val="24"/>
          <w:szCs w:val="24"/>
        </w:rPr>
        <w:t>、甲方签署本协议，即同意授权乙方及代理销售机构从甲方指定账户冻结或</w:t>
      </w:r>
      <w:r w:rsidRPr="00B5057A">
        <w:rPr>
          <w:rFonts w:ascii="宋体" w:eastAsia="宋体" w:hAnsi="宋体" w:cs="Times New Roman"/>
          <w:sz w:val="24"/>
          <w:szCs w:val="24"/>
        </w:rPr>
        <w:t>划转</w:t>
      </w:r>
      <w:r w:rsidRPr="00B5057A">
        <w:rPr>
          <w:rFonts w:ascii="宋体" w:eastAsia="宋体" w:hAnsi="宋体" w:cs="Times New Roman" w:hint="eastAsia"/>
          <w:sz w:val="24"/>
          <w:szCs w:val="24"/>
        </w:rPr>
        <w:t>等额于甲</w:t>
      </w:r>
      <w:r w:rsidRPr="00B5057A">
        <w:rPr>
          <w:rFonts w:ascii="宋体" w:eastAsia="宋体" w:hAnsi="宋体" w:cs="Times New Roman"/>
          <w:sz w:val="24"/>
          <w:szCs w:val="24"/>
        </w:rPr>
        <w:t>方在本协议项下提交认购或申购的交易金额的资金，</w:t>
      </w:r>
      <w:r w:rsidRPr="00B5057A">
        <w:rPr>
          <w:rFonts w:ascii="宋体" w:eastAsia="宋体" w:hAnsi="宋体" w:cs="Times New Roman" w:hint="eastAsia"/>
          <w:sz w:val="24"/>
          <w:szCs w:val="24"/>
        </w:rPr>
        <w:t>或</w:t>
      </w:r>
      <w:r w:rsidRPr="00B5057A">
        <w:rPr>
          <w:rFonts w:ascii="宋体" w:eastAsia="宋体" w:hAnsi="宋体" w:cs="Times New Roman"/>
          <w:sz w:val="24"/>
          <w:szCs w:val="24"/>
        </w:rPr>
        <w:t>进行币种转换于境外投资，</w:t>
      </w:r>
      <w:r w:rsidRPr="00B5057A">
        <w:rPr>
          <w:rFonts w:ascii="宋体" w:eastAsia="宋体" w:hAnsi="宋体" w:cs="Times New Roman" w:hint="eastAsia"/>
          <w:sz w:val="24"/>
          <w:szCs w:val="24"/>
        </w:rPr>
        <w:t>乙方及</w:t>
      </w:r>
      <w:r w:rsidRPr="00B5057A">
        <w:rPr>
          <w:rFonts w:ascii="宋体" w:eastAsia="宋体" w:hAnsi="宋体" w:cs="Times New Roman"/>
          <w:sz w:val="24"/>
          <w:szCs w:val="24"/>
        </w:rPr>
        <w:t>代理销售机构在</w:t>
      </w:r>
      <w:r w:rsidRPr="00B5057A">
        <w:rPr>
          <w:rFonts w:ascii="宋体" w:eastAsia="宋体" w:hAnsi="宋体" w:cs="Times New Roman" w:hint="eastAsia"/>
          <w:sz w:val="24"/>
          <w:szCs w:val="24"/>
        </w:rPr>
        <w:t>冻结或</w:t>
      </w:r>
      <w:r w:rsidRPr="00B5057A">
        <w:rPr>
          <w:rFonts w:ascii="宋体" w:eastAsia="宋体" w:hAnsi="宋体" w:cs="Times New Roman"/>
          <w:sz w:val="24"/>
          <w:szCs w:val="24"/>
        </w:rPr>
        <w:t>划款时均无须再通知甲方。</w:t>
      </w:r>
      <w:r w:rsidRPr="00890583">
        <w:rPr>
          <w:rFonts w:ascii="宋体" w:eastAsia="宋体" w:hAnsi="宋体" w:cs="Times New Roman" w:hint="eastAsia"/>
          <w:b/>
          <w:bCs/>
          <w:sz w:val="24"/>
          <w:szCs w:val="24"/>
        </w:rPr>
        <w:t>在产品认（申）</w:t>
      </w:r>
      <w:proofErr w:type="gramStart"/>
      <w:r w:rsidRPr="00890583">
        <w:rPr>
          <w:rFonts w:ascii="宋体" w:eastAsia="宋体" w:hAnsi="宋体" w:cs="Times New Roman" w:hint="eastAsia"/>
          <w:b/>
          <w:bCs/>
          <w:sz w:val="24"/>
          <w:szCs w:val="24"/>
        </w:rPr>
        <w:t>购期内</w:t>
      </w:r>
      <w:proofErr w:type="gramEnd"/>
      <w:r w:rsidRPr="00890583">
        <w:rPr>
          <w:rFonts w:ascii="宋体" w:eastAsia="宋体" w:hAnsi="宋体" w:cs="Times New Roman" w:hint="eastAsia"/>
          <w:b/>
          <w:bCs/>
          <w:sz w:val="24"/>
          <w:szCs w:val="24"/>
        </w:rPr>
        <w:t>，如因甲方原因导致投资本金不能从甲方指定账户足额划转导致甲方对相关理财产品的购买不成功的，乙方不承担责任。</w:t>
      </w:r>
    </w:p>
    <w:p w14:paraId="4DEEA59D" w14:textId="77777777" w:rsidR="005E3442" w:rsidRPr="00B5057A" w:rsidRDefault="005E3442" w:rsidP="005E3442">
      <w:pPr>
        <w:pStyle w:val="a"/>
        <w:spacing w:line="360" w:lineRule="auto"/>
        <w:ind w:firstLineChars="200" w:firstLine="480"/>
        <w:rPr>
          <w:rFonts w:ascii="宋体" w:eastAsia="宋体" w:hAnsi="宋体" w:cs="Times New Roman"/>
          <w:sz w:val="24"/>
          <w:szCs w:val="24"/>
        </w:rPr>
      </w:pPr>
      <w:r w:rsidRPr="00B5057A">
        <w:rPr>
          <w:rFonts w:ascii="宋体" w:eastAsia="宋体" w:hAnsi="宋体" w:cs="Times New Roman"/>
          <w:sz w:val="24"/>
          <w:szCs w:val="24"/>
        </w:rPr>
        <w:t>6</w:t>
      </w:r>
      <w:r w:rsidRPr="00B5057A">
        <w:rPr>
          <w:rFonts w:ascii="宋体" w:eastAsia="宋体" w:hAnsi="宋体" w:cs="Times New Roman" w:hint="eastAsia"/>
          <w:sz w:val="24"/>
          <w:szCs w:val="24"/>
        </w:rPr>
        <w:t>、如甲方在本协议项下投资的理财产品为《理财产品说明书》声明的面向</w:t>
      </w:r>
      <w:r w:rsidRPr="00B5057A">
        <w:rPr>
          <w:rFonts w:ascii="宋体" w:eastAsia="宋体" w:hAnsi="宋体" w:cs="Times New Roman"/>
          <w:sz w:val="24"/>
          <w:szCs w:val="24"/>
        </w:rPr>
        <w:t>合格投资者发行的理财产品，甲方</w:t>
      </w:r>
      <w:r w:rsidRPr="00B5057A">
        <w:rPr>
          <w:rFonts w:ascii="宋体" w:eastAsia="宋体" w:hAnsi="宋体" w:cs="Times New Roman" w:hint="eastAsia"/>
          <w:sz w:val="24"/>
          <w:szCs w:val="24"/>
        </w:rPr>
        <w:t>承诺其</w:t>
      </w:r>
      <w:r w:rsidRPr="00B5057A">
        <w:rPr>
          <w:rFonts w:ascii="宋体" w:eastAsia="宋体" w:hAnsi="宋体" w:cs="Times New Roman"/>
          <w:sz w:val="24"/>
          <w:szCs w:val="24"/>
        </w:rPr>
        <w:t>符合监管要求的合格投资者条件。</w:t>
      </w:r>
    </w:p>
    <w:p w14:paraId="5754570B" w14:textId="77777777" w:rsidR="005E3442" w:rsidRPr="00B5057A" w:rsidRDefault="005E3442" w:rsidP="005E3442">
      <w:pPr>
        <w:pStyle w:val="a"/>
        <w:spacing w:line="360" w:lineRule="auto"/>
        <w:ind w:firstLineChars="200" w:firstLine="480"/>
        <w:rPr>
          <w:rFonts w:ascii="宋体" w:eastAsia="宋体" w:hAnsi="宋体" w:cs="Times New Roman"/>
          <w:b/>
          <w:sz w:val="24"/>
          <w:szCs w:val="24"/>
        </w:rPr>
      </w:pPr>
      <w:r w:rsidRPr="00B5057A">
        <w:rPr>
          <w:rFonts w:ascii="宋体" w:eastAsia="宋体" w:hAnsi="宋体" w:cs="Times New Roman" w:hint="eastAsia"/>
          <w:sz w:val="24"/>
          <w:szCs w:val="24"/>
        </w:rPr>
        <w:t>7、甲方保证熟悉理财产品类型特征及不同销售渠道的相关规定，了解理财产品直销与代销的相关区别。对于甲方通过乙方或代理销售机构的网上银行、手机银行等销售渠道方式购买的理财产品（不受限于本产品），</w:t>
      </w:r>
      <w:r w:rsidRPr="00B5057A">
        <w:rPr>
          <w:rFonts w:ascii="宋体" w:eastAsia="宋体" w:hAnsi="宋体" w:cs="Times New Roman" w:hint="eastAsia"/>
          <w:b/>
          <w:sz w:val="24"/>
          <w:szCs w:val="24"/>
        </w:rPr>
        <w:t>甲方确认其在乙方或代理销售机构渠道系统点击确认的理财产品销售文件的合法有效性，与纸质签署具有同等效力，并确认相关记录构成对甲方操作行为（包括但不限于购买、赎回、撤单等业务）的证据，并且在双方发生争议时可以作为合法有效的证据使用。</w:t>
      </w:r>
    </w:p>
    <w:p w14:paraId="599C271F" w14:textId="77777777" w:rsidR="005E3442" w:rsidRPr="00B5057A" w:rsidRDefault="005E3442" w:rsidP="005E3442">
      <w:pPr>
        <w:pStyle w:val="a"/>
        <w:spacing w:line="360" w:lineRule="auto"/>
        <w:ind w:firstLineChars="200" w:firstLine="480"/>
        <w:rPr>
          <w:rFonts w:ascii="宋体" w:eastAsia="宋体" w:hAnsi="宋体" w:cs="Times New Roman"/>
          <w:sz w:val="24"/>
          <w:szCs w:val="24"/>
        </w:rPr>
      </w:pPr>
      <w:r w:rsidRPr="00B5057A">
        <w:rPr>
          <w:rFonts w:ascii="宋体" w:eastAsia="宋体" w:hAnsi="宋体" w:cs="Times New Roman"/>
          <w:sz w:val="24"/>
          <w:szCs w:val="24"/>
        </w:rPr>
        <w:t>8</w:t>
      </w:r>
      <w:r w:rsidRPr="00B5057A">
        <w:rPr>
          <w:rFonts w:ascii="宋体" w:eastAsia="宋体" w:hAnsi="宋体" w:cs="Times New Roman" w:hint="eastAsia"/>
          <w:sz w:val="24"/>
          <w:szCs w:val="24"/>
        </w:rPr>
        <w:t>、</w:t>
      </w:r>
      <w:r w:rsidRPr="00890583">
        <w:rPr>
          <w:rFonts w:ascii="宋体" w:eastAsia="宋体" w:hAnsi="宋体" w:cs="Times New Roman" w:hint="eastAsia"/>
          <w:b/>
          <w:bCs/>
          <w:sz w:val="24"/>
          <w:szCs w:val="24"/>
        </w:rPr>
        <w:t>甲方认可乙方按《理财产品说明书》中约定的方式披露理财产品相关信息，</w:t>
      </w:r>
      <w:r w:rsidRPr="00B5057A">
        <w:rPr>
          <w:rFonts w:ascii="宋体" w:eastAsia="宋体" w:hAnsi="宋体" w:cs="Times New Roman" w:hint="eastAsia"/>
          <w:sz w:val="24"/>
          <w:szCs w:val="24"/>
        </w:rPr>
        <w:t>包括但不限于理财产品销售文件修改及补充、发行公告、定期报告、到期公告、重要事项公告等。</w:t>
      </w:r>
    </w:p>
    <w:p w14:paraId="5695C034" w14:textId="77777777" w:rsidR="005E3442" w:rsidRPr="00B5057A" w:rsidRDefault="005E3442" w:rsidP="005E3442">
      <w:pPr>
        <w:pStyle w:val="a"/>
        <w:spacing w:line="360" w:lineRule="auto"/>
        <w:ind w:firstLineChars="200" w:firstLine="480"/>
        <w:rPr>
          <w:rFonts w:ascii="宋体" w:eastAsia="宋体" w:hAnsi="宋体" w:cs="Times New Roman"/>
          <w:sz w:val="24"/>
          <w:szCs w:val="24"/>
        </w:rPr>
      </w:pPr>
      <w:r w:rsidRPr="00B5057A">
        <w:rPr>
          <w:rFonts w:ascii="宋体" w:eastAsia="宋体" w:hAnsi="宋体" w:cs="Times New Roman"/>
          <w:sz w:val="24"/>
          <w:szCs w:val="24"/>
        </w:rPr>
        <w:t>9</w:t>
      </w:r>
      <w:r w:rsidRPr="00B5057A">
        <w:rPr>
          <w:rFonts w:ascii="宋体" w:eastAsia="宋体" w:hAnsi="宋体" w:cs="Times New Roman" w:hint="eastAsia"/>
          <w:sz w:val="24"/>
          <w:szCs w:val="24"/>
        </w:rPr>
        <w:t>、如甲方投资的理财产品为私募理财产品，则募集期最后一日为产品冷静期，冷静</w:t>
      </w:r>
      <w:proofErr w:type="gramStart"/>
      <w:r w:rsidRPr="00B5057A">
        <w:rPr>
          <w:rFonts w:ascii="宋体" w:eastAsia="宋体" w:hAnsi="宋体" w:cs="Times New Roman" w:hint="eastAsia"/>
          <w:sz w:val="24"/>
          <w:szCs w:val="24"/>
        </w:rPr>
        <w:t>期具体</w:t>
      </w:r>
      <w:proofErr w:type="gramEnd"/>
      <w:r w:rsidRPr="00B5057A">
        <w:rPr>
          <w:rFonts w:ascii="宋体" w:eastAsia="宋体" w:hAnsi="宋体" w:cs="Times New Roman" w:hint="eastAsia"/>
          <w:sz w:val="24"/>
          <w:szCs w:val="24"/>
        </w:rPr>
        <w:t>设置规则以《理财产品说明书》为准</w:t>
      </w:r>
      <w:r w:rsidRPr="00B5057A">
        <w:rPr>
          <w:rFonts w:ascii="宋体" w:eastAsia="宋体" w:hAnsi="宋体" w:cs="Times New Roman"/>
          <w:sz w:val="24"/>
          <w:szCs w:val="24"/>
        </w:rPr>
        <w:t>。在冷静期内，如甲方改变投</w:t>
      </w:r>
      <w:r w:rsidRPr="00B5057A">
        <w:rPr>
          <w:rFonts w:ascii="宋体" w:eastAsia="宋体" w:hAnsi="宋体" w:cs="Times New Roman" w:hint="eastAsia"/>
          <w:sz w:val="24"/>
          <w:szCs w:val="24"/>
        </w:rPr>
        <w:t>资决定，应立即撤销认（申）</w:t>
      </w:r>
      <w:r w:rsidRPr="00B5057A">
        <w:rPr>
          <w:rFonts w:ascii="宋体" w:eastAsia="宋体" w:hAnsi="宋体" w:cs="Times New Roman"/>
          <w:sz w:val="24"/>
          <w:szCs w:val="24"/>
        </w:rPr>
        <w:t>购的申请或通过</w:t>
      </w:r>
      <w:r w:rsidRPr="00B5057A">
        <w:rPr>
          <w:rFonts w:ascii="宋体" w:eastAsia="宋体" w:hAnsi="宋体" w:cs="Times New Roman" w:hint="eastAsia"/>
          <w:sz w:val="24"/>
          <w:szCs w:val="24"/>
        </w:rPr>
        <w:t>其购买本产品的所有销售机构</w:t>
      </w:r>
      <w:r w:rsidRPr="00B5057A">
        <w:rPr>
          <w:rFonts w:ascii="宋体" w:eastAsia="宋体" w:hAnsi="宋体" w:cs="Times New Roman"/>
          <w:sz w:val="24"/>
          <w:szCs w:val="24"/>
        </w:rPr>
        <w:t>向乙方</w:t>
      </w:r>
      <w:r w:rsidRPr="00B5057A">
        <w:rPr>
          <w:rFonts w:ascii="宋体" w:eastAsia="宋体" w:hAnsi="宋体" w:cs="Times New Roman" w:hint="eastAsia"/>
          <w:sz w:val="24"/>
          <w:szCs w:val="24"/>
        </w:rPr>
        <w:t>提出解除相应理财产品销售文件，乙方应当遵从甲方意愿，解除已签订的理财产品销售文件，并由其购买本产品的销售机构及时退还甲方的全部投资款项。</w:t>
      </w:r>
    </w:p>
    <w:p w14:paraId="49FB72F7" w14:textId="77777777" w:rsidR="005E3442" w:rsidRPr="00B5057A" w:rsidRDefault="005E3442" w:rsidP="005E3442">
      <w:pPr>
        <w:pStyle w:val="a"/>
        <w:spacing w:line="360" w:lineRule="auto"/>
        <w:ind w:firstLineChars="200" w:firstLine="480"/>
        <w:rPr>
          <w:rFonts w:ascii="宋体" w:eastAsia="宋体" w:hAnsi="宋体" w:cs="Times New Roman"/>
          <w:sz w:val="24"/>
          <w:szCs w:val="24"/>
        </w:rPr>
      </w:pPr>
      <w:r w:rsidRPr="00B5057A">
        <w:rPr>
          <w:rFonts w:ascii="宋体" w:eastAsia="宋体" w:hAnsi="宋体" w:cs="Times New Roman"/>
          <w:sz w:val="24"/>
          <w:szCs w:val="24"/>
        </w:rPr>
        <w:t>10</w:t>
      </w:r>
      <w:r w:rsidRPr="00B5057A">
        <w:rPr>
          <w:rFonts w:ascii="宋体" w:eastAsia="宋体" w:hAnsi="宋体" w:cs="Times New Roman" w:hint="eastAsia"/>
          <w:sz w:val="24"/>
          <w:szCs w:val="24"/>
        </w:rPr>
        <w:t>、若甲方为</w:t>
      </w:r>
      <w:proofErr w:type="gramStart"/>
      <w:r w:rsidRPr="00B5057A">
        <w:rPr>
          <w:rFonts w:ascii="宋体" w:eastAsia="宋体" w:hAnsi="宋体" w:cs="Times New Roman" w:hint="eastAsia"/>
          <w:sz w:val="24"/>
          <w:szCs w:val="24"/>
        </w:rPr>
        <w:t>非机构</w:t>
      </w:r>
      <w:proofErr w:type="gramEnd"/>
      <w:r w:rsidRPr="00B5057A">
        <w:rPr>
          <w:rFonts w:ascii="宋体" w:eastAsia="宋体" w:hAnsi="宋体" w:cs="Times New Roman" w:hint="eastAsia"/>
          <w:sz w:val="24"/>
          <w:szCs w:val="24"/>
        </w:rPr>
        <w:t>投资者，则对于乙方发行的、</w:t>
      </w:r>
      <w:r w:rsidRPr="00B5057A">
        <w:rPr>
          <w:rFonts w:ascii="宋体" w:eastAsia="宋体" w:hAnsi="宋体" w:cs="Times New Roman"/>
          <w:sz w:val="24"/>
          <w:szCs w:val="24"/>
        </w:rPr>
        <w:t>被乙方</w:t>
      </w:r>
      <w:r w:rsidRPr="00B5057A">
        <w:rPr>
          <w:rFonts w:ascii="宋体" w:eastAsia="宋体" w:hAnsi="宋体" w:cs="Times New Roman" w:hint="eastAsia"/>
          <w:sz w:val="24"/>
          <w:szCs w:val="24"/>
        </w:rPr>
        <w:t>或代理销售机构</w:t>
      </w:r>
      <w:r w:rsidRPr="00B5057A">
        <w:rPr>
          <w:rFonts w:ascii="宋体" w:eastAsia="宋体" w:hAnsi="宋体" w:cs="Times New Roman"/>
          <w:sz w:val="24"/>
          <w:szCs w:val="24"/>
        </w:rPr>
        <w:t>认定</w:t>
      </w:r>
      <w:r w:rsidRPr="00B5057A">
        <w:rPr>
          <w:rFonts w:ascii="宋体" w:eastAsia="宋体" w:hAnsi="宋体" w:cs="Times New Roman" w:hint="eastAsia"/>
          <w:sz w:val="24"/>
          <w:szCs w:val="24"/>
        </w:rPr>
        <w:t>风险评级为四级及以上（即中高</w:t>
      </w:r>
      <w:r w:rsidRPr="00B5057A">
        <w:rPr>
          <w:rFonts w:ascii="宋体" w:eastAsia="宋体" w:hAnsi="宋体" w:cs="Times New Roman"/>
          <w:sz w:val="24"/>
          <w:szCs w:val="24"/>
        </w:rPr>
        <w:t>风险和高风险</w:t>
      </w:r>
      <w:r w:rsidRPr="00B5057A">
        <w:rPr>
          <w:rFonts w:ascii="宋体" w:eastAsia="宋体" w:hAnsi="宋体" w:cs="Times New Roman" w:hint="eastAsia"/>
          <w:sz w:val="24"/>
          <w:szCs w:val="24"/>
        </w:rPr>
        <w:t>）的理财产品，甲方</w:t>
      </w:r>
      <w:proofErr w:type="gramStart"/>
      <w:r w:rsidRPr="00B5057A">
        <w:rPr>
          <w:rFonts w:ascii="宋体" w:eastAsia="宋体" w:hAnsi="宋体" w:cs="Times New Roman" w:hint="eastAsia"/>
          <w:sz w:val="24"/>
          <w:szCs w:val="24"/>
        </w:rPr>
        <w:t>需前往</w:t>
      </w:r>
      <w:proofErr w:type="gramEnd"/>
      <w:r w:rsidRPr="00B5057A">
        <w:rPr>
          <w:rFonts w:ascii="宋体" w:eastAsia="宋体" w:hAnsi="宋体" w:cs="Times New Roman" w:hint="eastAsia"/>
          <w:sz w:val="24"/>
          <w:szCs w:val="24"/>
        </w:rPr>
        <w:t>乙方</w:t>
      </w:r>
      <w:r w:rsidRPr="00B5057A">
        <w:rPr>
          <w:rFonts w:ascii="宋体" w:eastAsia="宋体" w:hAnsi="宋体" w:cs="Times New Roman" w:hint="eastAsia"/>
          <w:sz w:val="24"/>
          <w:szCs w:val="24"/>
        </w:rPr>
        <w:lastRenderedPageBreak/>
        <w:t>或代理销售机构认可</w:t>
      </w:r>
      <w:r w:rsidRPr="00B5057A">
        <w:rPr>
          <w:rFonts w:ascii="宋体" w:eastAsia="宋体" w:hAnsi="宋体" w:cs="Times New Roman"/>
          <w:sz w:val="24"/>
          <w:szCs w:val="24"/>
        </w:rPr>
        <w:t>的</w:t>
      </w:r>
      <w:r w:rsidRPr="00B5057A">
        <w:rPr>
          <w:rFonts w:ascii="宋体" w:eastAsia="宋体" w:hAnsi="宋体" w:cs="Times New Roman" w:hint="eastAsia"/>
          <w:sz w:val="24"/>
          <w:szCs w:val="24"/>
        </w:rPr>
        <w:t>营业网点进行购买，但已与乙方或代理销售机构当面书面约定过的情况除外。甲方与乙方或代理销售机构已有当面书面约定的，即视为同意乙方及代理销售机构后续通过线</w:t>
      </w:r>
      <w:proofErr w:type="gramStart"/>
      <w:r w:rsidRPr="00B5057A">
        <w:rPr>
          <w:rFonts w:ascii="宋体" w:eastAsia="宋体" w:hAnsi="宋体" w:cs="Times New Roman" w:hint="eastAsia"/>
          <w:sz w:val="24"/>
          <w:szCs w:val="24"/>
        </w:rPr>
        <w:t>上渠道</w:t>
      </w:r>
      <w:proofErr w:type="gramEnd"/>
      <w:r w:rsidRPr="00B5057A">
        <w:rPr>
          <w:rFonts w:ascii="宋体" w:eastAsia="宋体" w:hAnsi="宋体" w:cs="Times New Roman" w:hint="eastAsia"/>
          <w:sz w:val="24"/>
          <w:szCs w:val="24"/>
        </w:rPr>
        <w:t>向其推介和销售乙方发行的理财产品（包括评级为四级及以上的中高风险和高风险的理财产品），知晓并确认通过线</w:t>
      </w:r>
      <w:proofErr w:type="gramStart"/>
      <w:r w:rsidRPr="00B5057A">
        <w:rPr>
          <w:rFonts w:ascii="宋体" w:eastAsia="宋体" w:hAnsi="宋体" w:cs="Times New Roman" w:hint="eastAsia"/>
          <w:sz w:val="24"/>
          <w:szCs w:val="24"/>
        </w:rPr>
        <w:t>上渠道</w:t>
      </w:r>
      <w:proofErr w:type="gramEnd"/>
      <w:r w:rsidRPr="00B5057A">
        <w:rPr>
          <w:rFonts w:ascii="宋体" w:eastAsia="宋体" w:hAnsi="宋体" w:cs="Times New Roman" w:hint="eastAsia"/>
          <w:sz w:val="24"/>
          <w:szCs w:val="24"/>
        </w:rPr>
        <w:t>办理，均是基于其对产品的特点、期限、流动性及相关风险的充分理解和评估下所</w:t>
      </w:r>
      <w:proofErr w:type="gramStart"/>
      <w:r w:rsidRPr="00B5057A">
        <w:rPr>
          <w:rFonts w:ascii="宋体" w:eastAsia="宋体" w:hAnsi="宋体" w:cs="Times New Roman" w:hint="eastAsia"/>
          <w:sz w:val="24"/>
          <w:szCs w:val="24"/>
        </w:rPr>
        <w:t>作出</w:t>
      </w:r>
      <w:proofErr w:type="gramEnd"/>
      <w:r w:rsidRPr="00B5057A">
        <w:rPr>
          <w:rFonts w:ascii="宋体" w:eastAsia="宋体" w:hAnsi="宋体" w:cs="Times New Roman" w:hint="eastAsia"/>
          <w:sz w:val="24"/>
          <w:szCs w:val="24"/>
        </w:rPr>
        <w:t>的独立判断，由此产生的一切后果，将由甲方自行独立承担。</w:t>
      </w:r>
    </w:p>
    <w:p w14:paraId="4E765308" w14:textId="77777777" w:rsidR="005E3442" w:rsidRPr="00B5057A" w:rsidRDefault="005E3442" w:rsidP="005E3442">
      <w:pPr>
        <w:pStyle w:val="a"/>
        <w:spacing w:line="360" w:lineRule="auto"/>
        <w:ind w:firstLineChars="200" w:firstLine="480"/>
        <w:rPr>
          <w:rFonts w:ascii="宋体" w:eastAsia="宋体" w:hAnsi="宋体" w:cs="Times New Roman"/>
          <w:sz w:val="24"/>
          <w:szCs w:val="24"/>
        </w:rPr>
      </w:pPr>
      <w:r w:rsidRPr="00B5057A">
        <w:rPr>
          <w:rFonts w:ascii="宋体" w:eastAsia="宋体" w:hAnsi="宋体" w:cs="Times New Roman" w:hint="eastAsia"/>
          <w:sz w:val="24"/>
          <w:szCs w:val="24"/>
        </w:rPr>
        <w:t>1</w:t>
      </w:r>
      <w:r w:rsidRPr="00B5057A">
        <w:rPr>
          <w:rFonts w:ascii="宋体" w:eastAsia="宋体" w:hAnsi="宋体" w:cs="Times New Roman"/>
          <w:sz w:val="24"/>
          <w:szCs w:val="24"/>
        </w:rPr>
        <w:t>1</w:t>
      </w:r>
      <w:r w:rsidRPr="00B5057A">
        <w:rPr>
          <w:rFonts w:ascii="宋体" w:eastAsia="宋体" w:hAnsi="宋体" w:cs="Times New Roman" w:hint="eastAsia"/>
          <w:sz w:val="24"/>
          <w:szCs w:val="24"/>
        </w:rPr>
        <w:t>、</w:t>
      </w:r>
      <w:r w:rsidRPr="00B5057A">
        <w:rPr>
          <w:rFonts w:ascii="宋体" w:eastAsia="宋体" w:hAnsi="宋体" w:cs="Times New Roman"/>
          <w:b/>
          <w:sz w:val="24"/>
          <w:szCs w:val="24"/>
        </w:rPr>
        <w:t>甲方承诺在产品存续期内，除非按照《</w:t>
      </w:r>
      <w:r w:rsidRPr="00B5057A">
        <w:rPr>
          <w:rFonts w:ascii="宋体" w:eastAsia="宋体" w:hAnsi="宋体" w:cs="Times New Roman" w:hint="eastAsia"/>
          <w:b/>
          <w:sz w:val="24"/>
          <w:szCs w:val="24"/>
        </w:rPr>
        <w:t>理财</w:t>
      </w:r>
      <w:r w:rsidRPr="00B5057A">
        <w:rPr>
          <w:rFonts w:ascii="宋体" w:eastAsia="宋体" w:hAnsi="宋体" w:cs="Times New Roman"/>
          <w:b/>
          <w:sz w:val="24"/>
          <w:szCs w:val="24"/>
        </w:rPr>
        <w:t>产品说明书》约定行权终止理财产</w:t>
      </w:r>
      <w:r w:rsidRPr="00B5057A">
        <w:rPr>
          <w:rFonts w:ascii="宋体" w:eastAsia="宋体" w:hAnsi="宋体" w:cs="Times New Roman" w:hint="eastAsia"/>
          <w:b/>
          <w:sz w:val="24"/>
          <w:szCs w:val="24"/>
        </w:rPr>
        <w:t>品，否则不得要求乙方在产品到期日</w:t>
      </w:r>
      <w:r w:rsidRPr="00B5057A">
        <w:rPr>
          <w:rFonts w:ascii="宋体" w:eastAsia="宋体" w:hAnsi="宋体" w:cs="Times New Roman"/>
          <w:b/>
          <w:sz w:val="24"/>
          <w:szCs w:val="24"/>
        </w:rPr>
        <w:t>或</w:t>
      </w:r>
      <w:r w:rsidRPr="00B5057A">
        <w:rPr>
          <w:rFonts w:ascii="宋体" w:eastAsia="宋体" w:hAnsi="宋体" w:cs="Times New Roman" w:hint="eastAsia"/>
          <w:b/>
          <w:sz w:val="24"/>
          <w:szCs w:val="24"/>
        </w:rPr>
        <w:t>开放日前退还已扣划款项或以任何形式清算其持有的理财产品份额，且不得将甲方指定账户销户。</w:t>
      </w:r>
      <w:r w:rsidRPr="00B5057A">
        <w:rPr>
          <w:rFonts w:ascii="宋体" w:eastAsia="宋体" w:hAnsi="宋体" w:cs="Times New Roman" w:hint="eastAsia"/>
          <w:sz w:val="24"/>
          <w:szCs w:val="24"/>
        </w:rPr>
        <w:t>代理销售机构即为甲方指定账户开户银行的，代理销售机构有权拒绝甲方的销户请求并及时告知乙方。</w:t>
      </w:r>
    </w:p>
    <w:p w14:paraId="2C5C49ED" w14:textId="77777777" w:rsidR="005E3442" w:rsidRPr="00B5057A" w:rsidRDefault="005E3442" w:rsidP="005E3442">
      <w:pPr>
        <w:pStyle w:val="a"/>
        <w:spacing w:line="360" w:lineRule="auto"/>
        <w:ind w:firstLineChars="200" w:firstLine="480"/>
        <w:rPr>
          <w:rFonts w:ascii="宋体" w:eastAsia="宋体" w:hAnsi="宋体" w:cs="Times New Roman"/>
          <w:sz w:val="24"/>
          <w:szCs w:val="24"/>
        </w:rPr>
      </w:pPr>
      <w:r w:rsidRPr="00B5057A">
        <w:rPr>
          <w:rFonts w:ascii="宋体" w:eastAsia="宋体" w:hAnsi="宋体" w:cs="Times New Roman"/>
          <w:sz w:val="24"/>
          <w:szCs w:val="24"/>
        </w:rPr>
        <w:t>12</w:t>
      </w:r>
      <w:r w:rsidRPr="00B5057A">
        <w:rPr>
          <w:rFonts w:ascii="宋体" w:eastAsia="宋体" w:hAnsi="宋体" w:cs="Times New Roman" w:hint="eastAsia"/>
          <w:sz w:val="24"/>
          <w:szCs w:val="24"/>
        </w:rPr>
        <w:t>、如因甲方原因，导致乙方对</w:t>
      </w:r>
      <w:proofErr w:type="gramStart"/>
      <w:r w:rsidRPr="00B5057A">
        <w:rPr>
          <w:rFonts w:ascii="宋体" w:eastAsia="宋体" w:hAnsi="宋体" w:cs="Times New Roman" w:hint="eastAsia"/>
          <w:sz w:val="24"/>
          <w:szCs w:val="24"/>
        </w:rPr>
        <w:t>其他第三</w:t>
      </w:r>
      <w:proofErr w:type="gramEnd"/>
      <w:r w:rsidRPr="00B5057A">
        <w:rPr>
          <w:rFonts w:ascii="宋体" w:eastAsia="宋体" w:hAnsi="宋体" w:cs="Times New Roman" w:hint="eastAsia"/>
          <w:sz w:val="24"/>
          <w:szCs w:val="24"/>
        </w:rPr>
        <w:t>方承担赔偿责任的，甲方应承担相应的赔偿责任。</w:t>
      </w:r>
    </w:p>
    <w:p w14:paraId="6B8CD1C7" w14:textId="77777777" w:rsidR="005E3442" w:rsidRPr="00B5057A" w:rsidRDefault="005E3442" w:rsidP="005E3442">
      <w:pPr>
        <w:pStyle w:val="a"/>
        <w:spacing w:line="360" w:lineRule="auto"/>
        <w:ind w:firstLineChars="200" w:firstLine="480"/>
        <w:rPr>
          <w:rFonts w:ascii="宋体" w:eastAsia="宋体" w:hAnsi="宋体" w:cs="Times New Roman"/>
          <w:sz w:val="24"/>
          <w:szCs w:val="24"/>
        </w:rPr>
      </w:pPr>
      <w:r w:rsidRPr="00B5057A">
        <w:rPr>
          <w:rFonts w:ascii="宋体" w:eastAsia="宋体" w:hAnsi="宋体" w:cs="Times New Roman" w:hint="eastAsia"/>
          <w:sz w:val="24"/>
          <w:szCs w:val="24"/>
        </w:rPr>
        <w:t>1</w:t>
      </w:r>
      <w:r w:rsidRPr="00B5057A">
        <w:rPr>
          <w:rFonts w:ascii="宋体" w:eastAsia="宋体" w:hAnsi="宋体" w:cs="Times New Roman"/>
          <w:sz w:val="24"/>
          <w:szCs w:val="24"/>
        </w:rPr>
        <w:t>3</w:t>
      </w:r>
      <w:r w:rsidRPr="00B5057A">
        <w:rPr>
          <w:rFonts w:ascii="宋体" w:eastAsia="宋体" w:hAnsi="宋体" w:cs="Times New Roman" w:hint="eastAsia"/>
          <w:sz w:val="24"/>
          <w:szCs w:val="24"/>
        </w:rPr>
        <w:t>、法律、法规、监管规定和其他在本产品所对应理财产品销售文件中约定的甲方的权利与义务。</w:t>
      </w:r>
    </w:p>
    <w:p w14:paraId="1458A07A" w14:textId="77777777" w:rsidR="005E3442" w:rsidRPr="00B5057A" w:rsidRDefault="005E3442" w:rsidP="005E3442">
      <w:pPr>
        <w:pStyle w:val="a"/>
        <w:spacing w:line="360" w:lineRule="auto"/>
        <w:ind w:left="482"/>
        <w:rPr>
          <w:rFonts w:ascii="宋体" w:eastAsia="宋体" w:hAnsi="宋体" w:cs="Times New Roman"/>
          <w:strike/>
          <w:sz w:val="24"/>
          <w:szCs w:val="24"/>
        </w:rPr>
      </w:pPr>
    </w:p>
    <w:p w14:paraId="2711326D" w14:textId="77777777" w:rsidR="005E3442" w:rsidRPr="00B5057A" w:rsidRDefault="005E3442" w:rsidP="005E3442">
      <w:pPr>
        <w:pStyle w:val="a"/>
        <w:spacing w:line="360" w:lineRule="auto"/>
        <w:ind w:left="482"/>
        <w:rPr>
          <w:rFonts w:ascii="宋体" w:eastAsia="宋体" w:hAnsi="宋体" w:cs="Times New Roman"/>
          <w:b/>
          <w:sz w:val="24"/>
          <w:szCs w:val="24"/>
        </w:rPr>
      </w:pPr>
      <w:r w:rsidRPr="00B5057A">
        <w:rPr>
          <w:rFonts w:ascii="宋体" w:eastAsia="宋体" w:hAnsi="宋体" w:cs="Times New Roman" w:hint="eastAsia"/>
          <w:b/>
          <w:sz w:val="24"/>
          <w:szCs w:val="24"/>
        </w:rPr>
        <w:t>（二）乙方权利与义务</w:t>
      </w:r>
    </w:p>
    <w:p w14:paraId="59C84BB9" w14:textId="77777777" w:rsidR="005E3442" w:rsidRPr="00B5057A" w:rsidRDefault="005E3442" w:rsidP="005E3442">
      <w:pPr>
        <w:pStyle w:val="a"/>
        <w:spacing w:line="360" w:lineRule="auto"/>
        <w:ind w:firstLineChars="200" w:firstLine="480"/>
        <w:rPr>
          <w:rFonts w:ascii="宋体" w:eastAsia="宋体" w:hAnsi="宋体" w:cs="Times New Roman"/>
          <w:color w:val="000000"/>
          <w:sz w:val="24"/>
          <w:szCs w:val="24"/>
        </w:rPr>
      </w:pPr>
      <w:r w:rsidRPr="00B5057A">
        <w:rPr>
          <w:rFonts w:ascii="宋体" w:eastAsia="宋体" w:hAnsi="宋体" w:cs="Times New Roman" w:hint="eastAsia"/>
          <w:color w:val="000000"/>
          <w:sz w:val="24"/>
          <w:szCs w:val="24"/>
        </w:rPr>
        <w:t>1、乙方有权依据法律、法规</w:t>
      </w:r>
      <w:r w:rsidRPr="00B5057A">
        <w:rPr>
          <w:rFonts w:ascii="宋体" w:eastAsia="宋体" w:hAnsi="宋体" w:cs="Times New Roman"/>
          <w:color w:val="000000"/>
          <w:sz w:val="24"/>
          <w:szCs w:val="24"/>
        </w:rPr>
        <w:t>、</w:t>
      </w:r>
      <w:r w:rsidRPr="00B5057A">
        <w:rPr>
          <w:rFonts w:ascii="宋体" w:eastAsia="宋体" w:hAnsi="宋体" w:cs="Times New Roman" w:hint="eastAsia"/>
          <w:color w:val="000000"/>
          <w:sz w:val="24"/>
          <w:szCs w:val="24"/>
        </w:rPr>
        <w:t>监管规定和理财产品销售文件约定，根据管理、运用和处分理财产品财产的需要，独立对理财产品资金进行投资管理，乙方也可选任或委托经相关监管机构批准或认可的其他理财投资合作机构对产品资金进行投资管理。</w:t>
      </w:r>
    </w:p>
    <w:p w14:paraId="740DE706" w14:textId="77777777" w:rsidR="005E3442" w:rsidRPr="00B5057A" w:rsidRDefault="005E3442" w:rsidP="005E3442">
      <w:pPr>
        <w:pStyle w:val="a"/>
        <w:spacing w:line="360" w:lineRule="auto"/>
        <w:ind w:firstLineChars="200" w:firstLine="480"/>
        <w:rPr>
          <w:rFonts w:ascii="宋体" w:eastAsia="宋体" w:hAnsi="宋体" w:cs="Times New Roman"/>
          <w:b/>
          <w:color w:val="000000"/>
          <w:sz w:val="24"/>
          <w:szCs w:val="24"/>
          <w:highlight w:val="yellow"/>
        </w:rPr>
      </w:pPr>
      <w:r w:rsidRPr="00B5057A">
        <w:rPr>
          <w:rFonts w:ascii="宋体" w:eastAsia="宋体" w:hAnsi="宋体" w:cs="Times New Roman"/>
          <w:color w:val="000000"/>
          <w:sz w:val="24"/>
          <w:szCs w:val="24"/>
        </w:rPr>
        <w:t>2</w:t>
      </w:r>
      <w:r w:rsidRPr="00B5057A">
        <w:rPr>
          <w:rFonts w:ascii="宋体" w:eastAsia="宋体" w:hAnsi="宋体" w:cs="Times New Roman" w:hint="eastAsia"/>
          <w:color w:val="000000"/>
          <w:sz w:val="24"/>
          <w:szCs w:val="24"/>
        </w:rPr>
        <w:t>、乙方有权以产品管理人名义</w:t>
      </w:r>
      <w:r w:rsidRPr="00B5057A">
        <w:rPr>
          <w:rFonts w:ascii="宋体" w:eastAsia="宋体" w:hAnsi="宋体" w:cs="Times New Roman"/>
          <w:color w:val="000000"/>
          <w:sz w:val="24"/>
          <w:szCs w:val="24"/>
        </w:rPr>
        <w:t>,全权负责</w:t>
      </w:r>
      <w:r w:rsidRPr="00B5057A">
        <w:rPr>
          <w:rFonts w:ascii="宋体" w:eastAsia="宋体" w:hAnsi="宋体" w:cs="Times New Roman" w:hint="eastAsia"/>
          <w:color w:val="000000"/>
          <w:sz w:val="24"/>
          <w:szCs w:val="24"/>
        </w:rPr>
        <w:t>本</w:t>
      </w:r>
      <w:r w:rsidRPr="00B5057A">
        <w:rPr>
          <w:rFonts w:ascii="宋体" w:eastAsia="宋体" w:hAnsi="宋体" w:cs="Times New Roman"/>
          <w:color w:val="000000"/>
          <w:sz w:val="24"/>
          <w:szCs w:val="24"/>
        </w:rPr>
        <w:t>理财产品资金的运用和理财产品资产的管理,</w:t>
      </w:r>
      <w:r w:rsidRPr="00B5057A">
        <w:rPr>
          <w:rFonts w:ascii="宋体" w:eastAsia="宋体" w:hAnsi="宋体" w:cs="Times New Roman" w:hint="eastAsia"/>
          <w:color w:val="000000"/>
          <w:sz w:val="24"/>
          <w:szCs w:val="24"/>
        </w:rPr>
        <w:t>代表投资者利益行使诉讼权利或者实施其他法律行为，例如代表理财产品及其全部投资人参加与理财产品所投资资产相关的所有会议，并对相关事项进行表决；</w:t>
      </w:r>
      <w:r w:rsidRPr="00B5057A">
        <w:rPr>
          <w:rFonts w:ascii="宋体" w:eastAsia="宋体" w:hAnsi="宋体" w:cs="Times New Roman"/>
          <w:color w:val="000000"/>
          <w:sz w:val="24"/>
          <w:szCs w:val="24"/>
        </w:rPr>
        <w:t>代表</w:t>
      </w:r>
      <w:r w:rsidRPr="00B5057A">
        <w:rPr>
          <w:rFonts w:ascii="宋体" w:eastAsia="宋体" w:hAnsi="宋体" w:cs="Times New Roman" w:hint="eastAsia"/>
          <w:color w:val="000000"/>
          <w:sz w:val="24"/>
          <w:szCs w:val="24"/>
        </w:rPr>
        <w:t>投资者</w:t>
      </w:r>
      <w:r w:rsidRPr="00B5057A">
        <w:rPr>
          <w:rFonts w:ascii="宋体" w:eastAsia="宋体" w:hAnsi="宋体" w:cs="Times New Roman"/>
          <w:color w:val="000000"/>
          <w:sz w:val="24"/>
          <w:szCs w:val="24"/>
        </w:rPr>
        <w:t>利益,按照法律</w:t>
      </w:r>
      <w:r w:rsidRPr="00B5057A">
        <w:rPr>
          <w:rFonts w:ascii="宋体" w:eastAsia="宋体" w:hAnsi="宋体" w:cs="Times New Roman" w:hint="eastAsia"/>
          <w:color w:val="000000"/>
          <w:sz w:val="24"/>
          <w:szCs w:val="24"/>
        </w:rPr>
        <w:t>、</w:t>
      </w:r>
      <w:r w:rsidRPr="00B5057A">
        <w:rPr>
          <w:rFonts w:ascii="宋体" w:eastAsia="宋体" w:hAnsi="宋体" w:cs="Times New Roman"/>
          <w:color w:val="000000"/>
          <w:sz w:val="24"/>
          <w:szCs w:val="24"/>
        </w:rPr>
        <w:t>法规和监管</w:t>
      </w:r>
      <w:r w:rsidRPr="00B5057A">
        <w:rPr>
          <w:rFonts w:ascii="宋体" w:eastAsia="宋体" w:hAnsi="宋体" w:cs="Times New Roman" w:hint="eastAsia"/>
          <w:color w:val="000000"/>
          <w:sz w:val="24"/>
          <w:szCs w:val="24"/>
        </w:rPr>
        <w:t>规定对理财产品投资产生的风险资产进行多种方式的处置</w:t>
      </w:r>
      <w:r w:rsidRPr="00B5057A">
        <w:rPr>
          <w:rFonts w:ascii="宋体" w:eastAsia="宋体" w:hAnsi="宋体" w:cs="Times New Roman"/>
          <w:color w:val="000000"/>
          <w:sz w:val="24"/>
          <w:szCs w:val="24"/>
        </w:rPr>
        <w:t>,包括但不限于转让、重组、债转股、资</w:t>
      </w:r>
      <w:r w:rsidRPr="00B5057A">
        <w:rPr>
          <w:rFonts w:ascii="宋体" w:eastAsia="宋体" w:hAnsi="宋体" w:cs="Times New Roman" w:hint="eastAsia"/>
          <w:color w:val="000000"/>
          <w:sz w:val="24"/>
          <w:szCs w:val="24"/>
        </w:rPr>
        <w:t>产证券化、委外催收、抵债资产收取与处置、破产重整等</w:t>
      </w:r>
      <w:r w:rsidRPr="00B5057A">
        <w:rPr>
          <w:rFonts w:ascii="宋体" w:eastAsia="宋体" w:hAnsi="宋体" w:cs="Times New Roman"/>
          <w:color w:val="000000"/>
          <w:sz w:val="24"/>
          <w:szCs w:val="24"/>
        </w:rPr>
        <w:t>，由此产生的费用和法律后果由理财产品承担</w:t>
      </w:r>
      <w:r w:rsidRPr="00B5057A">
        <w:rPr>
          <w:rFonts w:ascii="宋体" w:eastAsia="宋体" w:hAnsi="宋体" w:cs="Times New Roman" w:hint="eastAsia"/>
          <w:color w:val="000000"/>
          <w:sz w:val="24"/>
          <w:szCs w:val="24"/>
        </w:rPr>
        <w:t>。</w:t>
      </w:r>
      <w:r w:rsidRPr="00B5057A">
        <w:rPr>
          <w:rFonts w:ascii="宋体" w:eastAsia="宋体" w:hAnsi="宋体" w:cs="Times New Roman" w:hint="eastAsia"/>
          <w:b/>
          <w:color w:val="000000"/>
          <w:sz w:val="24"/>
          <w:szCs w:val="24"/>
        </w:rPr>
        <w:t>在理财产品投资过程中发生任何争议，乙方有权以产品管理人的名</w:t>
      </w:r>
      <w:r w:rsidRPr="00B5057A">
        <w:rPr>
          <w:rFonts w:ascii="宋体" w:eastAsia="宋体" w:hAnsi="宋体" w:cs="Times New Roman"/>
          <w:b/>
          <w:color w:val="000000"/>
          <w:sz w:val="24"/>
          <w:szCs w:val="24"/>
        </w:rPr>
        <w:t>义代表理财产品进行维权，行使包括但不限于提起诉讼/仲裁、申请保全/执</w:t>
      </w:r>
      <w:r w:rsidRPr="00B5057A">
        <w:rPr>
          <w:rFonts w:ascii="宋体" w:eastAsia="宋体" w:hAnsi="宋体" w:cs="Times New Roman"/>
          <w:b/>
          <w:color w:val="000000"/>
          <w:sz w:val="24"/>
          <w:szCs w:val="24"/>
        </w:rPr>
        <w:lastRenderedPageBreak/>
        <w:t>行等权利，由此产生的费用和法律后果由理财产品承担</w:t>
      </w:r>
      <w:r w:rsidRPr="00B5057A">
        <w:rPr>
          <w:rFonts w:ascii="宋体" w:eastAsia="宋体" w:hAnsi="宋体" w:cs="Times New Roman" w:hint="eastAsia"/>
          <w:b/>
          <w:color w:val="000000"/>
          <w:sz w:val="24"/>
          <w:szCs w:val="24"/>
        </w:rPr>
        <w:t>。甲方对此充分理解并同意该等授权安排。</w:t>
      </w:r>
      <w:r w:rsidRPr="00B5057A">
        <w:rPr>
          <w:rFonts w:ascii="宋体" w:eastAsia="宋体" w:hAnsi="宋体" w:cs="Times New Roman"/>
          <w:b/>
          <w:color w:val="000000"/>
          <w:sz w:val="24"/>
          <w:szCs w:val="24"/>
        </w:rPr>
        <w:t>乙方采取上述行动所产生的费用</w:t>
      </w:r>
      <w:r w:rsidRPr="00B5057A">
        <w:rPr>
          <w:rFonts w:ascii="宋体" w:eastAsia="宋体" w:hAnsi="宋体" w:cs="Times New Roman" w:hint="eastAsia"/>
          <w:b/>
          <w:color w:val="000000"/>
          <w:sz w:val="24"/>
          <w:szCs w:val="24"/>
        </w:rPr>
        <w:t>，</w:t>
      </w:r>
      <w:r w:rsidRPr="00B5057A">
        <w:rPr>
          <w:rFonts w:ascii="宋体" w:eastAsia="宋体" w:hAnsi="宋体" w:cs="Times New Roman"/>
          <w:b/>
          <w:color w:val="000000"/>
          <w:sz w:val="24"/>
          <w:szCs w:val="24"/>
        </w:rPr>
        <w:t>若乙方进行垫付的，乙方有权直接从理财产品财产中优先受偿。</w:t>
      </w:r>
    </w:p>
    <w:p w14:paraId="5464C3D2" w14:textId="77777777" w:rsidR="005E3442" w:rsidRPr="00B5057A" w:rsidRDefault="005E3442" w:rsidP="005E3442">
      <w:pPr>
        <w:pStyle w:val="a"/>
        <w:spacing w:line="360" w:lineRule="auto"/>
        <w:ind w:firstLineChars="200" w:firstLine="480"/>
        <w:rPr>
          <w:rFonts w:ascii="宋体" w:eastAsia="宋体" w:hAnsi="宋体" w:cs="Times New Roman"/>
          <w:color w:val="000000"/>
          <w:sz w:val="24"/>
          <w:szCs w:val="24"/>
        </w:rPr>
      </w:pPr>
      <w:r w:rsidRPr="00B5057A">
        <w:rPr>
          <w:rFonts w:ascii="宋体" w:eastAsia="宋体" w:hAnsi="宋体" w:cs="Times New Roman"/>
          <w:color w:val="000000"/>
          <w:sz w:val="24"/>
          <w:szCs w:val="24"/>
        </w:rPr>
        <w:t>3</w:t>
      </w:r>
      <w:r w:rsidRPr="00B5057A">
        <w:rPr>
          <w:rFonts w:ascii="宋体" w:eastAsia="宋体" w:hAnsi="宋体" w:cs="Times New Roman" w:hint="eastAsia"/>
          <w:color w:val="000000"/>
          <w:sz w:val="24"/>
          <w:szCs w:val="24"/>
        </w:rPr>
        <w:t>、</w:t>
      </w:r>
      <w:r w:rsidRPr="00B5057A">
        <w:rPr>
          <w:rFonts w:ascii="宋体" w:eastAsia="宋体" w:hAnsi="宋体" w:cs="Times New Roman"/>
          <w:b/>
          <w:color w:val="000000"/>
          <w:sz w:val="24"/>
          <w:szCs w:val="24"/>
        </w:rPr>
        <w:t>乙方有权依照《理财产品说明书》</w:t>
      </w:r>
      <w:r w:rsidRPr="00B5057A">
        <w:rPr>
          <w:rFonts w:ascii="宋体" w:eastAsia="宋体" w:hAnsi="宋体" w:cs="Times New Roman" w:hint="eastAsia"/>
          <w:b/>
          <w:color w:val="000000"/>
          <w:sz w:val="24"/>
          <w:szCs w:val="24"/>
        </w:rPr>
        <w:t>的</w:t>
      </w:r>
      <w:r w:rsidRPr="00B5057A">
        <w:rPr>
          <w:rFonts w:ascii="宋体" w:eastAsia="宋体" w:hAnsi="宋体" w:cs="Times New Roman"/>
          <w:b/>
          <w:color w:val="000000"/>
          <w:sz w:val="24"/>
          <w:szCs w:val="24"/>
        </w:rPr>
        <w:t>约定收取</w:t>
      </w:r>
      <w:r w:rsidRPr="00B5057A">
        <w:rPr>
          <w:rFonts w:ascii="宋体" w:eastAsia="宋体" w:hAnsi="宋体" w:cs="Times New Roman" w:hint="eastAsia"/>
          <w:b/>
          <w:color w:val="000000"/>
          <w:sz w:val="24"/>
          <w:szCs w:val="24"/>
        </w:rPr>
        <w:t>固定管理费、浮动管理费、销售服务费等</w:t>
      </w:r>
      <w:r w:rsidRPr="00B5057A">
        <w:rPr>
          <w:rFonts w:ascii="宋体" w:eastAsia="宋体" w:hAnsi="宋体" w:cs="Times New Roman"/>
          <w:b/>
          <w:color w:val="000000"/>
          <w:sz w:val="24"/>
          <w:szCs w:val="24"/>
        </w:rPr>
        <w:t>理</w:t>
      </w:r>
      <w:r w:rsidRPr="00B5057A">
        <w:rPr>
          <w:rFonts w:ascii="宋体" w:eastAsia="宋体" w:hAnsi="宋体" w:cs="Times New Roman" w:hint="eastAsia"/>
          <w:b/>
          <w:color w:val="000000"/>
          <w:sz w:val="24"/>
          <w:szCs w:val="24"/>
        </w:rPr>
        <w:t>财产品相关费用，具体收费项目、条件、方式和标准详见《理财产品说明书》。乙方亦有权对已约定的收费项目、条件、标准和方式进行调整，但须在调整前通过《理财产品说明书》约定的信息披露渠道向投资者进行信息披露。</w:t>
      </w:r>
    </w:p>
    <w:p w14:paraId="38B925D5" w14:textId="77777777" w:rsidR="005E3442" w:rsidRPr="00B5057A" w:rsidRDefault="005E3442" w:rsidP="005E3442">
      <w:pPr>
        <w:pStyle w:val="a"/>
        <w:spacing w:line="360" w:lineRule="auto"/>
        <w:ind w:firstLineChars="200" w:firstLine="480"/>
        <w:rPr>
          <w:rFonts w:ascii="宋体" w:eastAsia="宋体" w:hAnsi="宋体" w:cs="Times New Roman"/>
          <w:color w:val="000000"/>
          <w:sz w:val="24"/>
          <w:szCs w:val="24"/>
        </w:rPr>
      </w:pPr>
      <w:r w:rsidRPr="00B5057A">
        <w:rPr>
          <w:rFonts w:ascii="宋体" w:eastAsia="宋体" w:hAnsi="宋体" w:cs="Times New Roman"/>
          <w:color w:val="000000"/>
          <w:sz w:val="24"/>
          <w:szCs w:val="24"/>
        </w:rPr>
        <w:t>4</w:t>
      </w:r>
      <w:r w:rsidRPr="00B5057A">
        <w:rPr>
          <w:rFonts w:ascii="宋体" w:eastAsia="宋体" w:hAnsi="宋体" w:cs="Times New Roman" w:hint="eastAsia"/>
          <w:color w:val="000000"/>
          <w:sz w:val="24"/>
          <w:szCs w:val="24"/>
        </w:rPr>
        <w:t>、乙方有权按照《理财产品说明书》的约定确定收益分配方案、向甲方分配收益。</w:t>
      </w:r>
    </w:p>
    <w:p w14:paraId="31ED2E5A" w14:textId="77777777" w:rsidR="005E3442" w:rsidRPr="00B5057A" w:rsidRDefault="005E3442" w:rsidP="005E3442">
      <w:pPr>
        <w:pStyle w:val="a"/>
        <w:spacing w:line="360" w:lineRule="auto"/>
        <w:ind w:firstLineChars="200" w:firstLine="480"/>
        <w:rPr>
          <w:rFonts w:ascii="宋体" w:eastAsia="宋体" w:hAnsi="宋体" w:cs="Times New Roman"/>
          <w:color w:val="000000"/>
          <w:sz w:val="24"/>
          <w:szCs w:val="24"/>
        </w:rPr>
      </w:pPr>
      <w:r w:rsidRPr="00B5057A">
        <w:rPr>
          <w:rFonts w:ascii="宋体" w:eastAsia="宋体" w:hAnsi="宋体" w:cs="Times New Roman"/>
          <w:color w:val="000000"/>
          <w:sz w:val="24"/>
          <w:szCs w:val="24"/>
        </w:rPr>
        <w:t>5</w:t>
      </w:r>
      <w:r w:rsidRPr="00B5057A">
        <w:rPr>
          <w:rFonts w:ascii="宋体" w:eastAsia="宋体" w:hAnsi="宋体" w:cs="Times New Roman" w:hint="eastAsia"/>
          <w:color w:val="000000"/>
          <w:sz w:val="24"/>
          <w:szCs w:val="24"/>
        </w:rPr>
        <w:t>、乙方有权按照《理财产品说明书》的约定披露理财产品相关信息。相关信息披露内容构成理财产品销售文件不可分割的一部分，与理财产品销售文件具有同等效力，甲方应在充分知晓、理解有关信息披露内容后签署本协议，并在签署本协议后通过约定的信息披露渠道持续关注理财产品信息披露内容。</w:t>
      </w:r>
    </w:p>
    <w:p w14:paraId="73180198" w14:textId="77777777" w:rsidR="005E3442" w:rsidRPr="00B5057A" w:rsidRDefault="005E3442" w:rsidP="005E3442">
      <w:pPr>
        <w:pStyle w:val="a"/>
        <w:spacing w:line="360" w:lineRule="auto"/>
        <w:ind w:firstLineChars="200" w:firstLine="482"/>
        <w:rPr>
          <w:rFonts w:ascii="宋体" w:eastAsia="宋体" w:hAnsi="宋体" w:cs="Times New Roman"/>
          <w:b/>
          <w:bCs/>
          <w:color w:val="000000"/>
          <w:sz w:val="24"/>
          <w:szCs w:val="24"/>
        </w:rPr>
      </w:pPr>
      <w:r w:rsidRPr="00B5057A">
        <w:rPr>
          <w:rFonts w:ascii="宋体" w:eastAsia="宋体" w:hAnsi="宋体" w:cs="Times New Roman"/>
          <w:b/>
          <w:bCs/>
          <w:color w:val="000000"/>
          <w:sz w:val="24"/>
          <w:szCs w:val="24"/>
        </w:rPr>
        <w:t>6</w:t>
      </w:r>
      <w:r w:rsidRPr="00B5057A">
        <w:rPr>
          <w:rFonts w:ascii="宋体" w:eastAsia="宋体" w:hAnsi="宋体" w:cs="Times New Roman" w:hint="eastAsia"/>
          <w:b/>
          <w:bCs/>
          <w:color w:val="000000"/>
          <w:sz w:val="24"/>
          <w:szCs w:val="24"/>
        </w:rPr>
        <w:t>、</w:t>
      </w:r>
      <w:r w:rsidRPr="00B5057A">
        <w:rPr>
          <w:rFonts w:ascii="宋体" w:eastAsia="宋体" w:hAnsi="宋体" w:cs="Times New Roman"/>
          <w:b/>
          <w:bCs/>
          <w:color w:val="000000"/>
          <w:sz w:val="24"/>
          <w:szCs w:val="24"/>
        </w:rPr>
        <w:t>基于乙方履行本协议、进行服务管理和风险管理、报送监管信息</w:t>
      </w:r>
      <w:r w:rsidRPr="00B5057A">
        <w:rPr>
          <w:rFonts w:ascii="宋体" w:eastAsia="宋体" w:hAnsi="宋体" w:cs="Times New Roman" w:hint="eastAsia"/>
          <w:b/>
          <w:bCs/>
          <w:color w:val="000000"/>
          <w:sz w:val="24"/>
          <w:szCs w:val="24"/>
        </w:rPr>
        <w:t>、</w:t>
      </w:r>
      <w:r w:rsidRPr="00B5057A">
        <w:rPr>
          <w:rFonts w:ascii="宋体" w:eastAsia="宋体" w:hAnsi="宋体" w:cs="Times New Roman"/>
          <w:b/>
          <w:bCs/>
          <w:color w:val="000000"/>
          <w:sz w:val="24"/>
          <w:szCs w:val="24"/>
        </w:rPr>
        <w:t>履行反洗钱、</w:t>
      </w:r>
      <w:r w:rsidRPr="00B5057A">
        <w:rPr>
          <w:rFonts w:ascii="宋体" w:eastAsia="宋体" w:hAnsi="宋体" w:cs="Times New Roman" w:hint="eastAsia"/>
          <w:b/>
          <w:bCs/>
          <w:color w:val="000000"/>
          <w:sz w:val="24"/>
          <w:szCs w:val="24"/>
        </w:rPr>
        <w:t>反恐怖融资、非居民金融账户涉税信息尽职调查、</w:t>
      </w:r>
      <w:r w:rsidRPr="00B5057A">
        <w:rPr>
          <w:rFonts w:ascii="宋体" w:eastAsia="宋体" w:hAnsi="宋体" w:cs="Times New Roman"/>
          <w:b/>
          <w:bCs/>
          <w:color w:val="000000"/>
          <w:sz w:val="24"/>
          <w:szCs w:val="24"/>
        </w:rPr>
        <w:t>投资者资质审核和销售适当性等法律</w:t>
      </w:r>
      <w:r w:rsidRPr="00B5057A">
        <w:rPr>
          <w:rFonts w:ascii="宋体" w:eastAsia="宋体" w:hAnsi="宋体" w:cs="Times New Roman" w:hint="eastAsia"/>
          <w:b/>
          <w:bCs/>
          <w:color w:val="000000"/>
          <w:sz w:val="24"/>
          <w:szCs w:val="24"/>
        </w:rPr>
        <w:t>、</w:t>
      </w:r>
      <w:r w:rsidRPr="00B5057A">
        <w:rPr>
          <w:rFonts w:ascii="宋体" w:eastAsia="宋体" w:hAnsi="宋体" w:cs="Times New Roman"/>
          <w:b/>
          <w:bCs/>
          <w:color w:val="000000"/>
          <w:sz w:val="24"/>
          <w:szCs w:val="24"/>
        </w:rPr>
        <w:t>法规和监管要求义务</w:t>
      </w:r>
      <w:r w:rsidRPr="00B5057A">
        <w:rPr>
          <w:rFonts w:ascii="宋体" w:eastAsia="宋体" w:hAnsi="宋体" w:cs="Times New Roman" w:hint="eastAsia"/>
          <w:b/>
          <w:bCs/>
          <w:color w:val="000000"/>
          <w:sz w:val="24"/>
          <w:szCs w:val="24"/>
        </w:rPr>
        <w:t>的</w:t>
      </w:r>
      <w:r w:rsidRPr="00B5057A">
        <w:rPr>
          <w:rFonts w:ascii="宋体" w:eastAsia="宋体" w:hAnsi="宋体" w:cs="Times New Roman"/>
          <w:b/>
          <w:bCs/>
          <w:color w:val="000000"/>
          <w:sz w:val="24"/>
          <w:szCs w:val="24"/>
        </w:rPr>
        <w:t>需要，乙方</w:t>
      </w:r>
      <w:r w:rsidRPr="00B5057A">
        <w:rPr>
          <w:rFonts w:ascii="宋体" w:eastAsia="宋体" w:hAnsi="宋体" w:cs="Times New Roman" w:hint="eastAsia"/>
          <w:b/>
          <w:bCs/>
          <w:color w:val="000000"/>
          <w:sz w:val="24"/>
          <w:szCs w:val="24"/>
        </w:rPr>
        <w:t>有权</w:t>
      </w:r>
      <w:r w:rsidRPr="00B5057A">
        <w:rPr>
          <w:rFonts w:ascii="宋体" w:eastAsia="宋体" w:hAnsi="宋体" w:cs="Times New Roman"/>
          <w:b/>
          <w:bCs/>
          <w:color w:val="000000"/>
          <w:sz w:val="24"/>
          <w:szCs w:val="24"/>
        </w:rPr>
        <w:t>在业务办理或履行过程中</w:t>
      </w:r>
      <w:r w:rsidRPr="00B5057A">
        <w:rPr>
          <w:rFonts w:ascii="宋体" w:eastAsia="宋体" w:hAnsi="宋体" w:cs="Times New Roman" w:hint="eastAsia"/>
          <w:b/>
          <w:bCs/>
          <w:color w:val="000000"/>
          <w:sz w:val="24"/>
          <w:szCs w:val="24"/>
        </w:rPr>
        <w:t>直接或通过代理销售机构间接获取并报送甲方身份信息、账户信息及其持有理财产品等信息；</w:t>
      </w:r>
      <w:r w:rsidRPr="00B5057A">
        <w:rPr>
          <w:rFonts w:ascii="宋体" w:eastAsia="宋体" w:hAnsi="宋体" w:cs="Times New Roman"/>
          <w:b/>
          <w:bCs/>
          <w:color w:val="000000"/>
          <w:sz w:val="24"/>
          <w:szCs w:val="24"/>
        </w:rPr>
        <w:t>在乙方办理本协议项下相关事项所必需的情形下，</w:t>
      </w:r>
      <w:r w:rsidRPr="00B5057A">
        <w:rPr>
          <w:rFonts w:ascii="宋体" w:eastAsia="宋体" w:hAnsi="宋体" w:cs="Times New Roman" w:hint="eastAsia"/>
          <w:b/>
          <w:bCs/>
          <w:color w:val="000000"/>
          <w:sz w:val="24"/>
          <w:szCs w:val="24"/>
        </w:rPr>
        <w:t>乙方有权</w:t>
      </w:r>
      <w:r w:rsidRPr="00B5057A">
        <w:rPr>
          <w:rFonts w:ascii="宋体" w:eastAsia="宋体" w:hAnsi="宋体" w:cs="Times New Roman"/>
          <w:b/>
          <w:bCs/>
          <w:color w:val="000000"/>
          <w:sz w:val="24"/>
          <w:szCs w:val="24"/>
        </w:rPr>
        <w:t>向乙方集团成员、服务机构及其他乙方认为必要的业务合作机构（包括但不限于代理销售机构）提供乙方获取的甲方信息，范围包括但不限于甲方的身份信息、账户信息等。接收信息的</w:t>
      </w:r>
      <w:proofErr w:type="gramStart"/>
      <w:r w:rsidRPr="00B5057A">
        <w:rPr>
          <w:rFonts w:ascii="宋体" w:eastAsia="宋体" w:hAnsi="宋体" w:cs="Times New Roman"/>
          <w:b/>
          <w:bCs/>
          <w:color w:val="000000"/>
          <w:sz w:val="24"/>
          <w:szCs w:val="24"/>
        </w:rPr>
        <w:t>上述第三</w:t>
      </w:r>
      <w:proofErr w:type="gramEnd"/>
      <w:r w:rsidRPr="00B5057A">
        <w:rPr>
          <w:rFonts w:ascii="宋体" w:eastAsia="宋体" w:hAnsi="宋体" w:cs="Times New Roman"/>
          <w:b/>
          <w:bCs/>
          <w:color w:val="000000"/>
          <w:sz w:val="24"/>
          <w:szCs w:val="24"/>
        </w:rPr>
        <w:t>方将为处理本协议项下事务之目的接触并按照乙方的业务需要使用甲方信息。乙方承诺将向有关第三</w:t>
      </w:r>
      <w:proofErr w:type="gramStart"/>
      <w:r w:rsidRPr="00B5057A">
        <w:rPr>
          <w:rFonts w:ascii="宋体" w:eastAsia="宋体" w:hAnsi="宋体" w:cs="Times New Roman"/>
          <w:b/>
          <w:bCs/>
          <w:color w:val="000000"/>
          <w:sz w:val="24"/>
          <w:szCs w:val="24"/>
        </w:rPr>
        <w:t>方明确</w:t>
      </w:r>
      <w:proofErr w:type="gramEnd"/>
      <w:r w:rsidRPr="00B5057A">
        <w:rPr>
          <w:rFonts w:ascii="宋体" w:eastAsia="宋体" w:hAnsi="宋体" w:cs="Times New Roman"/>
          <w:b/>
          <w:bCs/>
          <w:color w:val="000000"/>
          <w:sz w:val="24"/>
          <w:szCs w:val="24"/>
        </w:rPr>
        <w:t>其保护甲</w:t>
      </w:r>
      <w:r w:rsidRPr="00B5057A">
        <w:rPr>
          <w:rFonts w:ascii="宋体" w:eastAsia="宋体" w:hAnsi="宋体" w:cs="Times New Roman" w:hint="eastAsia"/>
          <w:b/>
          <w:bCs/>
          <w:color w:val="000000"/>
          <w:sz w:val="24"/>
          <w:szCs w:val="24"/>
        </w:rPr>
        <w:t>方信息的职责并要求第三方承担相应保密义务。</w:t>
      </w:r>
    </w:p>
    <w:p w14:paraId="7B020852" w14:textId="77777777" w:rsidR="005E3442" w:rsidRPr="00B5057A" w:rsidRDefault="005E3442" w:rsidP="005E3442">
      <w:pPr>
        <w:pStyle w:val="a"/>
        <w:adjustRightInd w:val="0"/>
        <w:snapToGrid w:val="0"/>
        <w:spacing w:line="360" w:lineRule="auto"/>
        <w:ind w:firstLineChars="200" w:firstLine="480"/>
        <w:jc w:val="left"/>
        <w:rPr>
          <w:rFonts w:ascii="宋体" w:eastAsia="等线" w:hAnsi="宋体" w:cs="Times New Roman"/>
          <w:b/>
          <w:bCs/>
          <w:color w:val="000000"/>
          <w:sz w:val="24"/>
        </w:rPr>
      </w:pPr>
      <w:r w:rsidRPr="00B5057A">
        <w:rPr>
          <w:rFonts w:ascii="宋体" w:eastAsia="宋体" w:hAnsi="宋体" w:cs="Times New Roman"/>
          <w:color w:val="000000"/>
          <w:sz w:val="24"/>
          <w:szCs w:val="24"/>
        </w:rPr>
        <w:t>7</w:t>
      </w:r>
      <w:r w:rsidRPr="00B5057A">
        <w:rPr>
          <w:rFonts w:ascii="宋体" w:eastAsia="宋体" w:hAnsi="宋体" w:cs="Times New Roman" w:hint="eastAsia"/>
          <w:color w:val="000000"/>
          <w:sz w:val="24"/>
          <w:szCs w:val="24"/>
        </w:rPr>
        <w:t>、乙方有义务按照《理财产品说明书》的约定</w:t>
      </w:r>
      <w:r w:rsidRPr="00B5057A">
        <w:rPr>
          <w:rFonts w:ascii="宋体" w:eastAsia="宋体" w:hAnsi="宋体" w:cs="Times New Roman"/>
          <w:color w:val="000000"/>
          <w:sz w:val="24"/>
          <w:szCs w:val="24"/>
        </w:rPr>
        <w:t>在理财产品资金清算日</w:t>
      </w:r>
      <w:r w:rsidRPr="00B5057A">
        <w:rPr>
          <w:rFonts w:ascii="宋体" w:eastAsia="宋体" w:hAnsi="宋体" w:cs="Times New Roman" w:hint="eastAsia"/>
          <w:color w:val="000000"/>
          <w:sz w:val="24"/>
          <w:szCs w:val="24"/>
        </w:rPr>
        <w:t>将应支付甲方的理财产品投资本金（如有）及收益（如有）划入到甲方指定账户。如因甲方原因导致理财产品投资本金和/或收益无法入账的，由此导致损失</w:t>
      </w:r>
      <w:r w:rsidRPr="00B5057A">
        <w:rPr>
          <w:rFonts w:ascii="宋体" w:eastAsia="宋体" w:hAnsi="宋体" w:cs="Times New Roman"/>
          <w:color w:val="000000"/>
          <w:sz w:val="24"/>
          <w:szCs w:val="24"/>
        </w:rPr>
        <w:t>的，</w:t>
      </w:r>
      <w:r w:rsidRPr="00B5057A">
        <w:rPr>
          <w:rFonts w:ascii="宋体" w:eastAsia="宋体" w:hAnsi="宋体" w:cs="Times New Roman" w:hint="eastAsia"/>
          <w:color w:val="000000"/>
          <w:sz w:val="24"/>
          <w:szCs w:val="24"/>
        </w:rPr>
        <w:t>由甲方承担，</w:t>
      </w:r>
      <w:r w:rsidRPr="00B5057A">
        <w:rPr>
          <w:rFonts w:ascii="宋体" w:eastAsia="宋体" w:hAnsi="宋体" w:cs="Times New Roman"/>
          <w:color w:val="000000"/>
          <w:sz w:val="24"/>
          <w:szCs w:val="24"/>
        </w:rPr>
        <w:t>乙方不承担</w:t>
      </w:r>
      <w:r w:rsidRPr="00B5057A">
        <w:rPr>
          <w:rFonts w:ascii="宋体" w:eastAsia="宋体" w:hAnsi="宋体" w:cs="Times New Roman" w:hint="eastAsia"/>
          <w:color w:val="000000"/>
          <w:sz w:val="24"/>
          <w:szCs w:val="24"/>
        </w:rPr>
        <w:t>责任。甲方通过代理销售机构投资乙方理财产品时，乙方将理财产品投资本金（如有）及收益（如有）划入代理销售机构指定账户后，即视为完成乙方的支付义务。如因甲方或代理销售机构原因导致理财产品</w:t>
      </w:r>
      <w:r w:rsidRPr="00B5057A">
        <w:rPr>
          <w:rFonts w:ascii="宋体" w:eastAsia="宋体" w:hAnsi="宋体" w:cs="Times New Roman" w:hint="eastAsia"/>
          <w:color w:val="000000"/>
          <w:sz w:val="24"/>
          <w:szCs w:val="24"/>
        </w:rPr>
        <w:lastRenderedPageBreak/>
        <w:t>投资本金或收益无法划入甲方指定账户的，乙方不承担责任。从到期日至资金清算日的期间不计付利息。</w:t>
      </w:r>
    </w:p>
    <w:p w14:paraId="18062568" w14:textId="77777777" w:rsidR="005E3442" w:rsidRPr="00B5057A" w:rsidRDefault="005E3442" w:rsidP="005E3442">
      <w:pPr>
        <w:pStyle w:val="a"/>
        <w:spacing w:line="360" w:lineRule="auto"/>
        <w:ind w:firstLineChars="200" w:firstLine="480"/>
        <w:rPr>
          <w:rFonts w:ascii="宋体" w:eastAsia="宋体" w:hAnsi="宋体" w:cs="Times New Roman"/>
          <w:color w:val="000000"/>
          <w:sz w:val="24"/>
          <w:szCs w:val="24"/>
        </w:rPr>
      </w:pPr>
      <w:r w:rsidRPr="00B5057A">
        <w:rPr>
          <w:rFonts w:ascii="宋体" w:eastAsia="宋体" w:hAnsi="宋体" w:cs="Times New Roman"/>
          <w:color w:val="000000"/>
          <w:sz w:val="24"/>
          <w:szCs w:val="24"/>
        </w:rPr>
        <w:t>8</w:t>
      </w:r>
      <w:r w:rsidRPr="00B5057A">
        <w:rPr>
          <w:rFonts w:ascii="宋体" w:eastAsia="宋体" w:hAnsi="宋体" w:cs="Times New Roman" w:hint="eastAsia"/>
          <w:color w:val="000000"/>
          <w:sz w:val="24"/>
          <w:szCs w:val="24"/>
        </w:rPr>
        <w:t>、除法律、法规、监管规定另有规定或双方另有约定外，乙方不负责代扣代缴甲方应缴纳的税款。</w:t>
      </w:r>
    </w:p>
    <w:p w14:paraId="3ED5C4BF" w14:textId="77777777" w:rsidR="005E3442" w:rsidRPr="00B5057A" w:rsidRDefault="005E3442" w:rsidP="005E3442">
      <w:pPr>
        <w:pStyle w:val="a"/>
        <w:spacing w:line="360" w:lineRule="auto"/>
        <w:ind w:firstLineChars="200" w:firstLine="480"/>
        <w:rPr>
          <w:rFonts w:ascii="宋体" w:eastAsia="宋体" w:hAnsi="宋体" w:cs="Times New Roman"/>
          <w:b/>
          <w:color w:val="000000"/>
          <w:sz w:val="24"/>
          <w:szCs w:val="24"/>
        </w:rPr>
      </w:pPr>
      <w:r w:rsidRPr="00B5057A">
        <w:rPr>
          <w:rFonts w:ascii="宋体" w:eastAsia="宋体" w:hAnsi="宋体" w:cs="Times New Roman"/>
          <w:color w:val="000000"/>
          <w:sz w:val="24"/>
          <w:szCs w:val="24"/>
        </w:rPr>
        <w:t>9</w:t>
      </w:r>
      <w:r w:rsidRPr="00B5057A">
        <w:rPr>
          <w:rFonts w:ascii="宋体" w:eastAsia="宋体" w:hAnsi="宋体" w:cs="Times New Roman" w:hint="eastAsia"/>
          <w:color w:val="000000"/>
          <w:sz w:val="24"/>
          <w:szCs w:val="24"/>
        </w:rPr>
        <w:t>、乙方接受甲方的委托和授权，按照法律、法规、监管规定以及</w:t>
      </w:r>
      <w:r w:rsidRPr="00B5057A">
        <w:rPr>
          <w:rFonts w:ascii="宋体" w:eastAsia="宋体" w:hAnsi="宋体" w:cs="Times New Roman"/>
          <w:color w:val="000000"/>
          <w:sz w:val="24"/>
          <w:szCs w:val="24"/>
        </w:rPr>
        <w:t>理财产品</w:t>
      </w:r>
      <w:r w:rsidRPr="00B5057A">
        <w:rPr>
          <w:rFonts w:ascii="宋体" w:eastAsia="宋体" w:hAnsi="宋体" w:cs="Times New Roman" w:hint="eastAsia"/>
          <w:color w:val="000000"/>
          <w:sz w:val="24"/>
          <w:szCs w:val="24"/>
        </w:rPr>
        <w:t>销售</w:t>
      </w:r>
      <w:r w:rsidRPr="00B5057A">
        <w:rPr>
          <w:rFonts w:ascii="宋体" w:eastAsia="宋体" w:hAnsi="宋体" w:cs="Times New Roman"/>
          <w:color w:val="000000"/>
          <w:sz w:val="24"/>
          <w:szCs w:val="24"/>
        </w:rPr>
        <w:t>文件的约定</w:t>
      </w:r>
      <w:r w:rsidRPr="00B5057A">
        <w:rPr>
          <w:rFonts w:ascii="宋体" w:eastAsia="宋体" w:hAnsi="宋体" w:cs="Times New Roman" w:hint="eastAsia"/>
          <w:color w:val="000000"/>
          <w:sz w:val="24"/>
          <w:szCs w:val="24"/>
        </w:rPr>
        <w:t>，遵循诚实信用、勤勉尽责的原则履行受托管理职责，维护甲方合法权益</w:t>
      </w:r>
      <w:r w:rsidRPr="00B5057A">
        <w:rPr>
          <w:rFonts w:ascii="宋体" w:eastAsia="宋体" w:hAnsi="宋体" w:cs="Times New Roman" w:hint="eastAsia"/>
          <w:b/>
          <w:color w:val="000000"/>
          <w:sz w:val="24"/>
          <w:szCs w:val="24"/>
        </w:rPr>
        <w:t>。</w:t>
      </w:r>
    </w:p>
    <w:p w14:paraId="29E9B58B" w14:textId="77777777" w:rsidR="005E3442" w:rsidRPr="00B5057A" w:rsidRDefault="005E3442" w:rsidP="005E3442">
      <w:pPr>
        <w:pStyle w:val="a"/>
        <w:spacing w:line="360" w:lineRule="auto"/>
        <w:ind w:firstLineChars="200" w:firstLine="480"/>
        <w:rPr>
          <w:rFonts w:ascii="宋体" w:eastAsia="宋体" w:hAnsi="宋体" w:cs="Times New Roman"/>
          <w:color w:val="000000"/>
          <w:sz w:val="24"/>
          <w:szCs w:val="24"/>
        </w:rPr>
      </w:pPr>
      <w:r w:rsidRPr="00B5057A">
        <w:rPr>
          <w:rFonts w:ascii="宋体" w:eastAsia="宋体" w:hAnsi="宋体" w:cs="Times New Roman" w:hint="eastAsia"/>
          <w:color w:val="000000"/>
          <w:sz w:val="24"/>
          <w:szCs w:val="24"/>
        </w:rPr>
        <w:t>1</w:t>
      </w:r>
      <w:r w:rsidRPr="00B5057A">
        <w:rPr>
          <w:rFonts w:ascii="宋体" w:eastAsia="宋体" w:hAnsi="宋体" w:cs="Times New Roman"/>
          <w:color w:val="000000"/>
          <w:sz w:val="24"/>
          <w:szCs w:val="24"/>
        </w:rPr>
        <w:t>0</w:t>
      </w:r>
      <w:r w:rsidRPr="00B5057A">
        <w:rPr>
          <w:rFonts w:ascii="宋体" w:eastAsia="宋体" w:hAnsi="宋体" w:cs="Times New Roman" w:hint="eastAsia"/>
          <w:color w:val="000000"/>
          <w:sz w:val="24"/>
          <w:szCs w:val="24"/>
        </w:rPr>
        <w:t>、乙方对本协议及其条款负有保密义务，未经甲方许可，乙方不得向任何组织、个</w:t>
      </w:r>
      <w:r w:rsidRPr="00B5057A">
        <w:rPr>
          <w:rFonts w:ascii="宋体" w:eastAsia="宋体" w:hAnsi="宋体" w:cs="Times New Roman"/>
          <w:color w:val="000000"/>
          <w:sz w:val="24"/>
          <w:szCs w:val="24"/>
        </w:rPr>
        <w:t>人提供或泄露与甲方有关的业务资料及信息，但法律</w:t>
      </w:r>
      <w:r w:rsidRPr="00B5057A">
        <w:rPr>
          <w:rFonts w:ascii="宋体" w:eastAsia="宋体" w:hAnsi="宋体" w:cs="Times New Roman" w:hint="eastAsia"/>
          <w:color w:val="000000"/>
          <w:sz w:val="24"/>
          <w:szCs w:val="24"/>
        </w:rPr>
        <w:t>、</w:t>
      </w:r>
      <w:r w:rsidRPr="00B5057A">
        <w:rPr>
          <w:rFonts w:ascii="宋体" w:eastAsia="宋体" w:hAnsi="宋体" w:cs="Times New Roman"/>
          <w:color w:val="000000"/>
          <w:sz w:val="24"/>
          <w:szCs w:val="24"/>
        </w:rPr>
        <w:t>法规及金融监管机构另有规定、</w:t>
      </w:r>
      <w:r w:rsidRPr="00B5057A">
        <w:rPr>
          <w:rFonts w:ascii="宋体" w:eastAsia="宋体" w:hAnsi="宋体" w:cs="Times New Roman" w:hint="eastAsia"/>
          <w:color w:val="000000"/>
          <w:sz w:val="24"/>
          <w:szCs w:val="24"/>
        </w:rPr>
        <w:t>乙方</w:t>
      </w:r>
      <w:r w:rsidRPr="00B5057A">
        <w:rPr>
          <w:rFonts w:ascii="宋体" w:eastAsia="宋体" w:hAnsi="宋体" w:cs="Times New Roman"/>
          <w:color w:val="000000"/>
          <w:sz w:val="24"/>
          <w:szCs w:val="24"/>
        </w:rPr>
        <w:t>向专业咨询机构</w:t>
      </w:r>
      <w:r w:rsidRPr="00B5057A">
        <w:rPr>
          <w:rFonts w:ascii="宋体" w:eastAsia="宋体" w:hAnsi="宋体" w:cs="Times New Roman" w:hint="eastAsia"/>
          <w:color w:val="000000"/>
          <w:sz w:val="24"/>
          <w:szCs w:val="24"/>
        </w:rPr>
        <w:t>进行咨询涉及的披露</w:t>
      </w:r>
      <w:r w:rsidRPr="00B5057A">
        <w:rPr>
          <w:rFonts w:ascii="宋体" w:eastAsia="宋体" w:hAnsi="宋体" w:cs="Times New Roman"/>
          <w:color w:val="000000"/>
          <w:sz w:val="24"/>
          <w:szCs w:val="24"/>
        </w:rPr>
        <w:t>以及甲乙双方另有约定的其他情况除外。</w:t>
      </w:r>
    </w:p>
    <w:p w14:paraId="05E66D64" w14:textId="77777777" w:rsidR="005E3442" w:rsidRPr="00B5057A" w:rsidRDefault="005E3442" w:rsidP="005E3442">
      <w:pPr>
        <w:pStyle w:val="a"/>
        <w:spacing w:line="360" w:lineRule="auto"/>
        <w:ind w:firstLineChars="200" w:firstLine="480"/>
        <w:rPr>
          <w:rFonts w:ascii="宋体" w:eastAsia="宋体" w:hAnsi="宋体" w:cs="Times New Roman"/>
          <w:color w:val="000000"/>
          <w:sz w:val="24"/>
          <w:szCs w:val="24"/>
        </w:rPr>
      </w:pPr>
      <w:r w:rsidRPr="00B5057A">
        <w:rPr>
          <w:rFonts w:ascii="宋体" w:eastAsia="宋体" w:hAnsi="宋体" w:cs="Times New Roman" w:hint="eastAsia"/>
          <w:color w:val="000000"/>
          <w:sz w:val="24"/>
          <w:szCs w:val="24"/>
        </w:rPr>
        <w:t>1</w:t>
      </w:r>
      <w:r w:rsidRPr="00B5057A">
        <w:rPr>
          <w:rFonts w:ascii="宋体" w:eastAsia="宋体" w:hAnsi="宋体" w:cs="Times New Roman"/>
          <w:color w:val="000000"/>
          <w:sz w:val="24"/>
          <w:szCs w:val="24"/>
        </w:rPr>
        <w:t>1</w:t>
      </w:r>
      <w:r w:rsidRPr="00B5057A">
        <w:rPr>
          <w:rFonts w:ascii="宋体" w:eastAsia="宋体" w:hAnsi="宋体" w:cs="Times New Roman" w:hint="eastAsia"/>
          <w:color w:val="000000"/>
          <w:sz w:val="24"/>
          <w:szCs w:val="24"/>
        </w:rPr>
        <w:t>、法律、法规、监管规定和其他在本产品所对应理财产品销售文件中约定的乙方的权利与义务。</w:t>
      </w:r>
    </w:p>
    <w:p w14:paraId="73FF4B46" w14:textId="77777777" w:rsidR="005E3442" w:rsidRPr="00B5057A" w:rsidRDefault="005E3442" w:rsidP="005E3442">
      <w:pPr>
        <w:pStyle w:val="a"/>
        <w:spacing w:line="360" w:lineRule="auto"/>
        <w:ind w:firstLine="480"/>
        <w:rPr>
          <w:rFonts w:ascii="宋体" w:eastAsia="宋体" w:hAnsi="宋体" w:cs="Times New Roman"/>
          <w:b/>
          <w:sz w:val="24"/>
          <w:szCs w:val="24"/>
        </w:rPr>
      </w:pPr>
      <w:r w:rsidRPr="00B5057A">
        <w:rPr>
          <w:rFonts w:ascii="宋体" w:eastAsia="宋体" w:hAnsi="宋体" w:cs="Times New Roman" w:hint="eastAsia"/>
          <w:b/>
          <w:sz w:val="24"/>
          <w:szCs w:val="24"/>
        </w:rPr>
        <w:t>第三条 违约责任</w:t>
      </w:r>
    </w:p>
    <w:p w14:paraId="23F7B43E" w14:textId="77777777" w:rsidR="005E3442" w:rsidRPr="00B5057A" w:rsidRDefault="005E3442" w:rsidP="005E3442">
      <w:pPr>
        <w:pStyle w:val="a"/>
        <w:spacing w:line="360" w:lineRule="auto"/>
        <w:ind w:firstLineChars="200" w:firstLine="480"/>
        <w:rPr>
          <w:rFonts w:ascii="宋体" w:eastAsia="宋体" w:hAnsi="宋体" w:cs="Times New Roman"/>
          <w:sz w:val="24"/>
          <w:szCs w:val="24"/>
        </w:rPr>
      </w:pPr>
      <w:r w:rsidRPr="00B5057A">
        <w:rPr>
          <w:rFonts w:ascii="宋体" w:eastAsia="宋体" w:hAnsi="宋体" w:cs="Times New Roman" w:hint="eastAsia"/>
          <w:sz w:val="24"/>
          <w:szCs w:val="24"/>
        </w:rPr>
        <w:t>由于本协议一方当事人的过错，造成本协议不能履行或不能完全履行的，由有过错的一方承担违约责任；如双方同时负有过错，则应由双方各自按照过错程度承担责任。</w:t>
      </w:r>
    </w:p>
    <w:p w14:paraId="70CA7315" w14:textId="77777777" w:rsidR="005E3442" w:rsidRPr="00B5057A" w:rsidRDefault="005E3442" w:rsidP="005E3442">
      <w:pPr>
        <w:pStyle w:val="a"/>
        <w:spacing w:line="360" w:lineRule="auto"/>
        <w:ind w:firstLine="480"/>
        <w:rPr>
          <w:rFonts w:ascii="宋体" w:eastAsia="宋体" w:hAnsi="宋体" w:cs="Times New Roman"/>
          <w:b/>
          <w:sz w:val="24"/>
          <w:szCs w:val="24"/>
        </w:rPr>
      </w:pPr>
      <w:r w:rsidRPr="00B5057A">
        <w:rPr>
          <w:rFonts w:ascii="宋体" w:eastAsia="宋体" w:hAnsi="宋体" w:cs="Times New Roman" w:hint="eastAsia"/>
          <w:b/>
          <w:sz w:val="24"/>
          <w:szCs w:val="24"/>
        </w:rPr>
        <w:t>第四条 免责条款</w:t>
      </w:r>
    </w:p>
    <w:p w14:paraId="21ADCE30" w14:textId="77777777" w:rsidR="005E3442" w:rsidRPr="00B5057A" w:rsidRDefault="005E3442" w:rsidP="005E3442">
      <w:pPr>
        <w:pStyle w:val="a"/>
        <w:spacing w:line="360" w:lineRule="auto"/>
        <w:ind w:firstLineChars="200" w:firstLine="482"/>
        <w:rPr>
          <w:rFonts w:ascii="宋体" w:eastAsia="宋体" w:hAnsi="宋体" w:cs="Times New Roman"/>
          <w:b/>
          <w:sz w:val="24"/>
          <w:szCs w:val="24"/>
        </w:rPr>
      </w:pPr>
      <w:r w:rsidRPr="00B5057A">
        <w:rPr>
          <w:rFonts w:ascii="宋体" w:eastAsia="宋体" w:hAnsi="宋体" w:cs="Times New Roman"/>
          <w:b/>
          <w:sz w:val="24"/>
          <w:szCs w:val="24"/>
        </w:rPr>
        <w:t>1、由于国家法律</w:t>
      </w:r>
      <w:r w:rsidRPr="00B5057A">
        <w:rPr>
          <w:rFonts w:ascii="宋体" w:eastAsia="宋体" w:hAnsi="宋体" w:cs="Times New Roman" w:hint="eastAsia"/>
          <w:b/>
          <w:sz w:val="24"/>
          <w:szCs w:val="24"/>
        </w:rPr>
        <w:t>、</w:t>
      </w:r>
      <w:r w:rsidRPr="00B5057A">
        <w:rPr>
          <w:rFonts w:ascii="宋体" w:eastAsia="宋体" w:hAnsi="宋体" w:cs="Times New Roman"/>
          <w:b/>
          <w:sz w:val="24"/>
          <w:szCs w:val="24"/>
        </w:rPr>
        <w:t>法规、监管规定、监管部门政策变化、紧急措施的出台而</w:t>
      </w:r>
      <w:r w:rsidRPr="00B5057A">
        <w:rPr>
          <w:rFonts w:ascii="宋体" w:eastAsia="宋体" w:hAnsi="宋体" w:cs="Times New Roman" w:hint="eastAsia"/>
          <w:b/>
          <w:sz w:val="24"/>
          <w:szCs w:val="24"/>
        </w:rPr>
        <w:t>导致甲方蒙受损失或协议终止的，乙方不承担责任。</w:t>
      </w:r>
    </w:p>
    <w:p w14:paraId="23CBCE19" w14:textId="77777777" w:rsidR="005E3442" w:rsidRPr="00B5057A" w:rsidRDefault="005E3442" w:rsidP="005E3442">
      <w:pPr>
        <w:pStyle w:val="a"/>
        <w:spacing w:line="360" w:lineRule="auto"/>
        <w:ind w:firstLineChars="200" w:firstLine="482"/>
        <w:rPr>
          <w:rFonts w:ascii="宋体" w:eastAsia="宋体" w:hAnsi="宋体" w:cs="Times New Roman"/>
          <w:b/>
          <w:sz w:val="24"/>
          <w:szCs w:val="24"/>
        </w:rPr>
      </w:pPr>
      <w:r w:rsidRPr="00B5057A">
        <w:rPr>
          <w:rFonts w:ascii="宋体" w:eastAsia="宋体" w:hAnsi="宋体" w:cs="Times New Roman"/>
          <w:b/>
          <w:sz w:val="24"/>
          <w:szCs w:val="24"/>
        </w:rPr>
        <w:t>2、由于自然灾害、意外事故、战争、系统故障、通讯故障等不可抗力或乙方无过错且无法</w:t>
      </w:r>
      <w:r w:rsidRPr="00B5057A">
        <w:rPr>
          <w:rFonts w:ascii="宋体" w:eastAsia="宋体" w:hAnsi="宋体" w:cs="Times New Roman" w:hint="eastAsia"/>
          <w:b/>
          <w:sz w:val="24"/>
          <w:szCs w:val="24"/>
        </w:rPr>
        <w:t>避免</w:t>
      </w:r>
      <w:r w:rsidRPr="00B5057A">
        <w:rPr>
          <w:rFonts w:ascii="宋体" w:eastAsia="宋体" w:hAnsi="宋体" w:cs="Times New Roman"/>
          <w:b/>
          <w:sz w:val="24"/>
          <w:szCs w:val="24"/>
        </w:rPr>
        <w:t>的外因而导致的交易中断、延误等风险及损失，乙方不承担责任。</w:t>
      </w:r>
    </w:p>
    <w:p w14:paraId="5CAE5392" w14:textId="77777777" w:rsidR="005E3442" w:rsidRPr="00B5057A" w:rsidRDefault="005E3442" w:rsidP="005E3442">
      <w:pPr>
        <w:pStyle w:val="a"/>
        <w:spacing w:line="360" w:lineRule="auto"/>
        <w:ind w:firstLineChars="200" w:firstLine="482"/>
        <w:rPr>
          <w:rFonts w:ascii="宋体" w:eastAsia="宋体" w:hAnsi="宋体" w:cs="Times New Roman"/>
          <w:b/>
          <w:sz w:val="24"/>
          <w:szCs w:val="24"/>
        </w:rPr>
      </w:pPr>
      <w:r w:rsidRPr="00B5057A">
        <w:rPr>
          <w:rFonts w:ascii="宋体" w:eastAsia="宋体" w:hAnsi="宋体" w:cs="Times New Roman"/>
          <w:b/>
          <w:sz w:val="24"/>
          <w:szCs w:val="24"/>
        </w:rPr>
        <w:t>3、非因乙方原因（包括但不限于甲方遗失本协议、甲方协议被盗用、甲方指定账户被司法机关等有权部门冻结、扣划等原因）造成的损失，乙方不承担责任。</w:t>
      </w:r>
    </w:p>
    <w:p w14:paraId="26C8F49D" w14:textId="77777777" w:rsidR="005E3442" w:rsidRPr="00B5057A" w:rsidRDefault="005E3442" w:rsidP="005E3442">
      <w:pPr>
        <w:pStyle w:val="a"/>
        <w:spacing w:line="360" w:lineRule="auto"/>
        <w:ind w:firstLineChars="200" w:firstLine="482"/>
        <w:rPr>
          <w:rFonts w:ascii="宋体" w:eastAsia="宋体" w:hAnsi="宋体" w:cs="Times New Roman"/>
          <w:b/>
          <w:sz w:val="24"/>
          <w:szCs w:val="24"/>
        </w:rPr>
      </w:pPr>
      <w:r w:rsidRPr="00B5057A">
        <w:rPr>
          <w:rFonts w:ascii="宋体" w:eastAsia="宋体" w:hAnsi="宋体" w:cs="Times New Roman"/>
          <w:b/>
          <w:sz w:val="24"/>
          <w:szCs w:val="24"/>
        </w:rPr>
        <w:t>4、发生前述情形时，乙方将在条件允许</w:t>
      </w:r>
      <w:r w:rsidRPr="00B5057A">
        <w:rPr>
          <w:rFonts w:ascii="宋体" w:eastAsia="宋体" w:hAnsi="宋体" w:cs="Times New Roman" w:hint="eastAsia"/>
          <w:b/>
          <w:sz w:val="24"/>
          <w:szCs w:val="24"/>
        </w:rPr>
        <w:t>且</w:t>
      </w:r>
      <w:r w:rsidRPr="00B5057A">
        <w:rPr>
          <w:rFonts w:ascii="宋体" w:eastAsia="宋体" w:hAnsi="宋体" w:cs="Times New Roman"/>
          <w:b/>
          <w:sz w:val="24"/>
          <w:szCs w:val="24"/>
        </w:rPr>
        <w:t>不违反法律、法规及监管规定的情况下采取必要合理的补救措施，尽力保护甲方利益，以减少甲方损失。</w:t>
      </w:r>
    </w:p>
    <w:p w14:paraId="065CE615" w14:textId="77777777" w:rsidR="005E3442" w:rsidRPr="00B5057A" w:rsidRDefault="005E3442" w:rsidP="005E3442">
      <w:pPr>
        <w:pStyle w:val="a"/>
        <w:spacing w:line="360" w:lineRule="auto"/>
        <w:ind w:firstLine="480"/>
        <w:rPr>
          <w:rFonts w:ascii="宋体" w:eastAsia="宋体" w:hAnsi="宋体" w:cs="Times New Roman"/>
          <w:b/>
          <w:sz w:val="24"/>
          <w:szCs w:val="24"/>
        </w:rPr>
      </w:pPr>
      <w:r w:rsidRPr="00B5057A">
        <w:rPr>
          <w:rFonts w:ascii="宋体" w:eastAsia="宋体" w:hAnsi="宋体" w:cs="Times New Roman" w:hint="eastAsia"/>
          <w:b/>
          <w:sz w:val="24"/>
          <w:szCs w:val="24"/>
        </w:rPr>
        <w:t>第五条 争议解决</w:t>
      </w:r>
    </w:p>
    <w:p w14:paraId="34F36C33" w14:textId="77777777" w:rsidR="005E3442" w:rsidRPr="00B5057A" w:rsidRDefault="005E3442" w:rsidP="005E3442">
      <w:pPr>
        <w:pStyle w:val="a"/>
        <w:spacing w:line="360" w:lineRule="auto"/>
        <w:ind w:firstLineChars="200" w:firstLine="480"/>
        <w:rPr>
          <w:rFonts w:ascii="宋体" w:eastAsia="宋体" w:hAnsi="宋体" w:cs="Times New Roman"/>
          <w:sz w:val="24"/>
          <w:szCs w:val="24"/>
        </w:rPr>
      </w:pPr>
      <w:r w:rsidRPr="00B5057A">
        <w:rPr>
          <w:rFonts w:ascii="宋体" w:eastAsia="宋体" w:hAnsi="宋体" w:cs="Times New Roman" w:hint="eastAsia"/>
          <w:sz w:val="24"/>
          <w:szCs w:val="24"/>
        </w:rPr>
        <w:t>本协议适用中华人民共和国法律。本协议履行过程中所发生的一切争议，双方应本着诚实信用的原则友好协商解决。</w:t>
      </w:r>
      <w:r w:rsidRPr="00B5057A">
        <w:rPr>
          <w:rFonts w:ascii="宋体" w:eastAsia="宋体" w:hAnsi="宋体" w:cs="Times New Roman" w:hint="eastAsia"/>
          <w:b/>
          <w:sz w:val="24"/>
          <w:szCs w:val="24"/>
        </w:rPr>
        <w:t>若协商不成，任何一方可向乙方所在地人民法院起诉。在争议解决期间，若该争议不影响本协议其他条款及其他理财产品</w:t>
      </w:r>
      <w:r w:rsidRPr="00B5057A">
        <w:rPr>
          <w:rFonts w:ascii="宋体" w:eastAsia="宋体" w:hAnsi="宋体" w:cs="Times New Roman"/>
          <w:b/>
          <w:sz w:val="24"/>
          <w:szCs w:val="24"/>
        </w:rPr>
        <w:t>销售文件</w:t>
      </w:r>
      <w:r w:rsidRPr="00B5057A">
        <w:rPr>
          <w:rFonts w:ascii="宋体" w:eastAsia="宋体" w:hAnsi="宋体" w:cs="Times New Roman" w:hint="eastAsia"/>
          <w:b/>
          <w:sz w:val="24"/>
          <w:szCs w:val="24"/>
        </w:rPr>
        <w:t>各条款的履行，前述条款应继续履行。因处理争议产生的费用（包括但不限于律师费、诉讼费等），除法院判决</w:t>
      </w:r>
      <w:r w:rsidRPr="00B5057A">
        <w:rPr>
          <w:rFonts w:ascii="宋体" w:eastAsia="宋体" w:hAnsi="宋体" w:cs="Times New Roman"/>
          <w:b/>
          <w:sz w:val="24"/>
          <w:szCs w:val="24"/>
        </w:rPr>
        <w:t>/裁定另有规定，由败诉方承担。</w:t>
      </w:r>
    </w:p>
    <w:p w14:paraId="798ABFAF" w14:textId="77777777" w:rsidR="005E3442" w:rsidRPr="00B5057A" w:rsidRDefault="005E3442" w:rsidP="005E3442">
      <w:pPr>
        <w:pStyle w:val="a"/>
        <w:spacing w:line="360" w:lineRule="auto"/>
        <w:ind w:firstLineChars="200" w:firstLine="482"/>
        <w:rPr>
          <w:rFonts w:ascii="宋体" w:eastAsia="宋体" w:hAnsi="宋体" w:cs="Times New Roman"/>
          <w:sz w:val="24"/>
          <w:szCs w:val="24"/>
        </w:rPr>
      </w:pPr>
      <w:r w:rsidRPr="00B5057A">
        <w:rPr>
          <w:rFonts w:ascii="宋体" w:eastAsia="宋体" w:hAnsi="宋体" w:cs="Times New Roman" w:hint="eastAsia"/>
          <w:b/>
          <w:sz w:val="24"/>
          <w:szCs w:val="24"/>
        </w:rPr>
        <w:t>第六条</w:t>
      </w:r>
      <w:r w:rsidRPr="00B5057A">
        <w:rPr>
          <w:rFonts w:ascii="宋体" w:eastAsia="宋体" w:hAnsi="宋体" w:cs="Times New Roman"/>
          <w:b/>
          <w:sz w:val="24"/>
          <w:szCs w:val="24"/>
        </w:rPr>
        <w:t xml:space="preserve"> 协议的生效</w:t>
      </w:r>
      <w:r w:rsidRPr="00B5057A">
        <w:rPr>
          <w:rFonts w:ascii="宋体" w:eastAsia="宋体" w:hAnsi="宋体" w:cs="Times New Roman" w:hint="eastAsia"/>
          <w:b/>
          <w:sz w:val="24"/>
          <w:szCs w:val="24"/>
        </w:rPr>
        <w:t>和终止</w:t>
      </w:r>
    </w:p>
    <w:p w14:paraId="5AE890A3" w14:textId="77777777" w:rsidR="005E3442" w:rsidRPr="00B5057A" w:rsidRDefault="005E3442" w:rsidP="005E3442">
      <w:pPr>
        <w:pStyle w:val="a"/>
        <w:spacing w:line="360" w:lineRule="auto"/>
        <w:ind w:firstLineChars="200" w:firstLine="482"/>
        <w:rPr>
          <w:rFonts w:ascii="宋体" w:eastAsia="宋体" w:hAnsi="宋体" w:cs="Times New Roman"/>
          <w:b/>
          <w:sz w:val="24"/>
          <w:szCs w:val="24"/>
        </w:rPr>
      </w:pPr>
      <w:r w:rsidRPr="00B5057A">
        <w:rPr>
          <w:rFonts w:ascii="宋体" w:eastAsia="宋体" w:hAnsi="宋体" w:cs="Times New Roman" w:hint="eastAsia"/>
          <w:b/>
          <w:sz w:val="24"/>
          <w:szCs w:val="24"/>
        </w:rPr>
        <w:t>（一）协议生效</w:t>
      </w:r>
    </w:p>
    <w:p w14:paraId="2701A4FE" w14:textId="26E0CC16" w:rsidR="005E3442" w:rsidRPr="00B5057A" w:rsidRDefault="005E3442" w:rsidP="005E3442">
      <w:pPr>
        <w:pStyle w:val="a"/>
        <w:widowControl/>
        <w:spacing w:line="360" w:lineRule="auto"/>
        <w:ind w:firstLineChars="200" w:firstLine="480"/>
        <w:jc w:val="left"/>
        <w:rPr>
          <w:rFonts w:ascii="宋体" w:eastAsia="宋体" w:hAnsi="宋体" w:cs="Times New Roman"/>
          <w:sz w:val="24"/>
          <w:szCs w:val="24"/>
        </w:rPr>
      </w:pPr>
      <w:r w:rsidRPr="00B5057A">
        <w:rPr>
          <w:rFonts w:ascii="宋体" w:eastAsia="宋体" w:hAnsi="宋体" w:cs="Times New Roman"/>
          <w:sz w:val="24"/>
          <w:szCs w:val="24"/>
        </w:rPr>
        <w:t>1、</w:t>
      </w:r>
      <w:r w:rsidRPr="00B5057A">
        <w:rPr>
          <w:rFonts w:ascii="宋体" w:eastAsia="宋体" w:hAnsi="宋体" w:cs="Times New Roman" w:hint="eastAsia"/>
          <w:sz w:val="24"/>
          <w:szCs w:val="24"/>
        </w:rPr>
        <w:t>甲方通过乙方或代理销售机构营业网点购买本理财产品的</w:t>
      </w:r>
      <w:r w:rsidRPr="00B5057A">
        <w:rPr>
          <w:rFonts w:ascii="宋体" w:eastAsia="宋体" w:hAnsi="宋体" w:cs="Times New Roman"/>
          <w:sz w:val="24"/>
          <w:szCs w:val="24"/>
        </w:rPr>
        <w:t>，本协议于甲方签署（</w:t>
      </w:r>
      <w:r w:rsidRPr="00B5057A">
        <w:rPr>
          <w:rFonts w:ascii="宋体" w:eastAsia="宋体" w:hAnsi="宋体" w:cs="Times New Roman" w:hint="eastAsia"/>
          <w:sz w:val="24"/>
          <w:szCs w:val="24"/>
        </w:rPr>
        <w:t>甲方为自然人的，应签字；甲方为机构的，应由其法定代表人（负责人）或授权代理人签字</w:t>
      </w:r>
      <w:r w:rsidRPr="00B5057A">
        <w:rPr>
          <w:rFonts w:ascii="宋体" w:eastAsia="宋体" w:hAnsi="宋体" w:cs="Times New Roman"/>
          <w:sz w:val="24"/>
          <w:szCs w:val="24"/>
        </w:rPr>
        <w:t>/签章并加盖公章；甲方为资产管理产品的，应加盖</w:t>
      </w:r>
      <w:r w:rsidRPr="00B5057A">
        <w:rPr>
          <w:rFonts w:ascii="宋体" w:eastAsia="宋体" w:hAnsi="宋体" w:cs="Times New Roman" w:hint="eastAsia"/>
          <w:sz w:val="24"/>
          <w:szCs w:val="24"/>
        </w:rPr>
        <w:t>产品</w:t>
      </w:r>
      <w:r w:rsidRPr="00B5057A">
        <w:rPr>
          <w:rFonts w:ascii="宋体" w:eastAsia="宋体" w:hAnsi="宋体" w:cs="Times New Roman"/>
          <w:sz w:val="24"/>
          <w:szCs w:val="24"/>
        </w:rPr>
        <w:t>管理人公章）且乙方确认甲方成功认（申）购并收到甲方缴付的全部投资</w:t>
      </w:r>
      <w:r w:rsidRPr="00B5057A">
        <w:rPr>
          <w:rFonts w:ascii="宋体" w:eastAsia="宋体" w:hAnsi="宋体" w:cs="Times New Roman" w:hint="eastAsia"/>
          <w:sz w:val="24"/>
          <w:szCs w:val="24"/>
        </w:rPr>
        <w:t>款项</w:t>
      </w:r>
      <w:r w:rsidRPr="00B5057A">
        <w:rPr>
          <w:rFonts w:ascii="宋体" w:eastAsia="宋体" w:hAnsi="宋体" w:cs="Times New Roman"/>
          <w:sz w:val="24"/>
          <w:szCs w:val="24"/>
        </w:rPr>
        <w:t>本金之日起生效。本协议</w:t>
      </w:r>
      <w:r w:rsidRPr="00B5057A">
        <w:rPr>
          <w:rFonts w:ascii="宋体" w:eastAsia="宋体" w:hAnsi="宋体" w:cs="Times New Roman" w:hint="eastAsia"/>
          <w:sz w:val="24"/>
          <w:szCs w:val="24"/>
        </w:rPr>
        <w:t>一式</w:t>
      </w:r>
      <w:r>
        <w:rPr>
          <w:rFonts w:ascii="宋体" w:eastAsia="宋体" w:hAnsi="宋体" w:cs="Times New Roman"/>
          <w:sz w:val="24"/>
          <w:szCs w:val="24"/>
          <w:u w:val="single"/>
        </w:rPr>
        <w:t>2</w:t>
      </w:r>
      <w:r w:rsidRPr="00B5057A">
        <w:rPr>
          <w:rFonts w:ascii="宋体" w:eastAsia="宋体" w:hAnsi="宋体" w:cs="Times New Roman" w:hint="eastAsia"/>
          <w:sz w:val="24"/>
          <w:szCs w:val="24"/>
        </w:rPr>
        <w:t>份，</w:t>
      </w:r>
      <w:r>
        <w:rPr>
          <w:rFonts w:ascii="宋体" w:eastAsia="宋体" w:hAnsi="宋体" w:cs="Times New Roman" w:hint="eastAsia"/>
          <w:sz w:val="24"/>
          <w:szCs w:val="24"/>
        </w:rPr>
        <w:t>其中</w:t>
      </w:r>
      <w:r w:rsidRPr="00B5057A">
        <w:rPr>
          <w:rFonts w:ascii="宋体" w:eastAsia="宋体" w:hAnsi="宋体" w:cs="Times New Roman" w:hint="eastAsia"/>
          <w:sz w:val="24"/>
          <w:szCs w:val="24"/>
        </w:rPr>
        <w:t>甲方</w:t>
      </w:r>
      <w:r w:rsidR="00410F2C">
        <w:rPr>
          <w:rFonts w:ascii="宋体" w:eastAsia="宋体" w:hAnsi="宋体" w:cs="Times New Roman" w:hint="eastAsia"/>
          <w:sz w:val="24"/>
          <w:szCs w:val="24"/>
        </w:rPr>
        <w:t>执</w:t>
      </w:r>
      <w:r w:rsidRPr="00B5057A">
        <w:rPr>
          <w:rFonts w:ascii="宋体" w:eastAsia="宋体" w:hAnsi="宋体" w:cs="Times New Roman" w:hint="eastAsia"/>
          <w:sz w:val="24"/>
          <w:szCs w:val="24"/>
        </w:rPr>
        <w:t>有</w:t>
      </w:r>
      <w:r>
        <w:rPr>
          <w:rFonts w:ascii="宋体" w:eastAsia="宋体" w:hAnsi="宋体" w:cs="Times New Roman"/>
          <w:sz w:val="24"/>
          <w:szCs w:val="24"/>
          <w:u w:val="single"/>
        </w:rPr>
        <w:t>1</w:t>
      </w:r>
      <w:r w:rsidRPr="00B5057A">
        <w:rPr>
          <w:rFonts w:ascii="宋体" w:eastAsia="宋体" w:hAnsi="宋体" w:cs="Times New Roman" w:hint="eastAsia"/>
          <w:sz w:val="24"/>
          <w:szCs w:val="24"/>
        </w:rPr>
        <w:t>份。</w:t>
      </w:r>
    </w:p>
    <w:p w14:paraId="05236DB5" w14:textId="77777777" w:rsidR="005E3442" w:rsidRPr="00B5057A" w:rsidRDefault="005E3442" w:rsidP="005E3442">
      <w:pPr>
        <w:pStyle w:val="a"/>
        <w:spacing w:line="360" w:lineRule="auto"/>
        <w:ind w:firstLineChars="200" w:firstLine="480"/>
        <w:rPr>
          <w:rFonts w:ascii="宋体" w:eastAsia="宋体" w:hAnsi="宋体" w:cs="Times New Roman"/>
          <w:sz w:val="24"/>
          <w:szCs w:val="24"/>
        </w:rPr>
      </w:pPr>
      <w:r w:rsidRPr="00B5057A">
        <w:rPr>
          <w:rFonts w:ascii="宋体" w:eastAsia="宋体" w:hAnsi="宋体" w:cs="Times New Roman"/>
          <w:sz w:val="24"/>
          <w:szCs w:val="24"/>
        </w:rPr>
        <w:t>2、</w:t>
      </w:r>
      <w:r w:rsidRPr="00B5057A">
        <w:rPr>
          <w:rFonts w:ascii="宋体" w:eastAsia="宋体" w:hAnsi="宋体" w:cs="Times New Roman" w:hint="eastAsia"/>
          <w:sz w:val="24"/>
          <w:szCs w:val="24"/>
        </w:rPr>
        <w:t>甲方通过乙方或代理销售机构的网上银行、手机银行等线</w:t>
      </w:r>
      <w:proofErr w:type="gramStart"/>
      <w:r w:rsidRPr="00B5057A">
        <w:rPr>
          <w:rFonts w:ascii="宋体" w:eastAsia="宋体" w:hAnsi="宋体" w:cs="Times New Roman" w:hint="eastAsia"/>
          <w:sz w:val="24"/>
          <w:szCs w:val="24"/>
        </w:rPr>
        <w:t>上渠道</w:t>
      </w:r>
      <w:proofErr w:type="gramEnd"/>
      <w:r w:rsidRPr="00B5057A">
        <w:rPr>
          <w:rFonts w:ascii="宋体" w:eastAsia="宋体" w:hAnsi="宋体" w:cs="Times New Roman" w:hint="eastAsia"/>
          <w:sz w:val="24"/>
          <w:szCs w:val="24"/>
        </w:rPr>
        <w:t>方式购买本理财产品的</w:t>
      </w:r>
      <w:r w:rsidRPr="00B5057A">
        <w:rPr>
          <w:rFonts w:ascii="宋体" w:eastAsia="宋体" w:hAnsi="宋体" w:cs="Times New Roman"/>
          <w:sz w:val="24"/>
          <w:szCs w:val="24"/>
        </w:rPr>
        <w:t>，本协议经甲方点击同意本协议且乙方确认甲方成功认（申）购并收到甲方缴付的全部投资</w:t>
      </w:r>
      <w:r w:rsidRPr="00B5057A">
        <w:rPr>
          <w:rFonts w:ascii="宋体" w:eastAsia="宋体" w:hAnsi="宋体" w:cs="Times New Roman" w:hint="eastAsia"/>
          <w:sz w:val="24"/>
          <w:szCs w:val="24"/>
        </w:rPr>
        <w:t>本金款项</w:t>
      </w:r>
      <w:r w:rsidRPr="00B5057A">
        <w:rPr>
          <w:rFonts w:ascii="宋体" w:eastAsia="宋体" w:hAnsi="宋体" w:cs="Times New Roman"/>
          <w:sz w:val="24"/>
          <w:szCs w:val="24"/>
        </w:rPr>
        <w:t>之日起生效。</w:t>
      </w:r>
      <w:r w:rsidRPr="00B5057A">
        <w:rPr>
          <w:rFonts w:ascii="宋体" w:eastAsia="宋体" w:hAnsi="宋体" w:cs="Times New Roman" w:hint="eastAsia"/>
          <w:sz w:val="24"/>
          <w:szCs w:val="24"/>
        </w:rPr>
        <w:t>双</w:t>
      </w:r>
      <w:r w:rsidRPr="00B5057A">
        <w:rPr>
          <w:rFonts w:ascii="宋体" w:eastAsia="宋体" w:hAnsi="宋体" w:cs="Times New Roman"/>
          <w:sz w:val="24"/>
          <w:szCs w:val="24"/>
        </w:rPr>
        <w:t>方认可线上点击同意具有与书面签署同等的法律效力</w:t>
      </w:r>
      <w:r w:rsidRPr="00B5057A">
        <w:rPr>
          <w:rFonts w:ascii="宋体" w:eastAsia="宋体" w:hAnsi="宋体" w:cs="Times New Roman" w:hint="eastAsia"/>
          <w:sz w:val="24"/>
          <w:szCs w:val="24"/>
        </w:rPr>
        <w:t>。</w:t>
      </w:r>
    </w:p>
    <w:p w14:paraId="3B346C88" w14:textId="49792D84" w:rsidR="005E3442" w:rsidRPr="00B5057A" w:rsidRDefault="005E3442" w:rsidP="005E3442">
      <w:pPr>
        <w:pStyle w:val="a"/>
        <w:spacing w:line="360" w:lineRule="auto"/>
        <w:ind w:firstLineChars="200" w:firstLine="482"/>
        <w:rPr>
          <w:rFonts w:ascii="等线" w:eastAsia="等线" w:hAnsi="等线" w:cs="Times New Roman"/>
        </w:rPr>
      </w:pPr>
      <w:r w:rsidRPr="00B5057A">
        <w:rPr>
          <w:rFonts w:ascii="宋体" w:eastAsia="宋体" w:hAnsi="宋体" w:cs="Times New Roman" w:hint="eastAsia"/>
          <w:b/>
          <w:sz w:val="24"/>
          <w:szCs w:val="24"/>
        </w:rPr>
        <w:t>通过线</w:t>
      </w:r>
      <w:proofErr w:type="gramStart"/>
      <w:r w:rsidRPr="00B5057A">
        <w:rPr>
          <w:rFonts w:ascii="宋体" w:eastAsia="宋体" w:hAnsi="宋体" w:cs="Times New Roman" w:hint="eastAsia"/>
          <w:b/>
          <w:sz w:val="24"/>
          <w:szCs w:val="24"/>
        </w:rPr>
        <w:t>上渠道认</w:t>
      </w:r>
      <w:proofErr w:type="gramEnd"/>
      <w:r w:rsidRPr="00B5057A">
        <w:rPr>
          <w:rFonts w:ascii="宋体" w:eastAsia="宋体" w:hAnsi="宋体" w:cs="Times New Roman" w:hint="eastAsia"/>
          <w:b/>
          <w:sz w:val="24"/>
          <w:szCs w:val="24"/>
        </w:rPr>
        <w:t>（申）购</w:t>
      </w:r>
      <w:r w:rsidRPr="00B5057A">
        <w:rPr>
          <w:rFonts w:ascii="宋体" w:eastAsia="宋体" w:hAnsi="宋体" w:cs="Times New Roman"/>
          <w:b/>
          <w:sz w:val="24"/>
          <w:szCs w:val="24"/>
        </w:rPr>
        <w:t>时，甲方使用的身份认证要素（包括但不限</w:t>
      </w:r>
      <w:r w:rsidRPr="00B5057A">
        <w:rPr>
          <w:rFonts w:ascii="宋体" w:eastAsia="宋体" w:hAnsi="宋体" w:cs="Times New Roman" w:hint="eastAsia"/>
          <w:b/>
          <w:sz w:val="24"/>
          <w:szCs w:val="24"/>
        </w:rPr>
        <w:t>于账号、</w:t>
      </w:r>
      <w:proofErr w:type="gramStart"/>
      <w:r w:rsidRPr="00B5057A">
        <w:rPr>
          <w:rFonts w:ascii="宋体" w:eastAsia="宋体" w:hAnsi="宋体" w:cs="Times New Roman" w:hint="eastAsia"/>
          <w:b/>
          <w:sz w:val="24"/>
          <w:szCs w:val="24"/>
        </w:rPr>
        <w:t>网银登录</w:t>
      </w:r>
      <w:proofErr w:type="gramEnd"/>
      <w:r w:rsidRPr="00B5057A">
        <w:rPr>
          <w:rFonts w:ascii="宋体" w:eastAsia="宋体" w:hAnsi="宋体" w:cs="Times New Roman" w:hint="eastAsia"/>
          <w:b/>
          <w:sz w:val="24"/>
          <w:szCs w:val="24"/>
        </w:rPr>
        <w:t>名、证件号码、手机号码、密码、数字证书、</w:t>
      </w:r>
      <w:proofErr w:type="spellStart"/>
      <w:r w:rsidRPr="00B5057A">
        <w:rPr>
          <w:rFonts w:ascii="宋体" w:eastAsia="宋体" w:hAnsi="宋体" w:cs="Times New Roman"/>
          <w:b/>
          <w:sz w:val="24"/>
          <w:szCs w:val="24"/>
        </w:rPr>
        <w:t>USBKey</w:t>
      </w:r>
      <w:proofErr w:type="spellEnd"/>
      <w:r w:rsidRPr="00B5057A">
        <w:rPr>
          <w:rFonts w:ascii="宋体" w:eastAsia="宋体" w:hAnsi="宋体" w:cs="Times New Roman"/>
          <w:b/>
          <w:sz w:val="24"/>
          <w:szCs w:val="24"/>
        </w:rPr>
        <w:t>、动态密码等）或其他交</w:t>
      </w:r>
      <w:r w:rsidRPr="00B5057A">
        <w:rPr>
          <w:rFonts w:ascii="宋体" w:eastAsia="宋体" w:hAnsi="宋体" w:cs="Times New Roman" w:hint="eastAsia"/>
          <w:b/>
          <w:sz w:val="24"/>
          <w:szCs w:val="24"/>
        </w:rPr>
        <w:t>易安全措施所完成的一切交易操作均视为甲方所为，上述操作所产生的业务指令均为处理业务的合法有效凭证，与在纸质合同上手写签名或盖章具有同等法律效力，双方无需另行签署纸质合同，甲方应对此产生的后果负责。甲方同意不因电子合同单方保存在乙方</w:t>
      </w:r>
      <w:r w:rsidR="008B6618">
        <w:rPr>
          <w:rFonts w:ascii="宋体" w:eastAsia="宋体" w:hAnsi="宋体" w:cs="Times New Roman" w:hint="eastAsia"/>
          <w:b/>
          <w:sz w:val="24"/>
          <w:szCs w:val="24"/>
        </w:rPr>
        <w:t>或</w:t>
      </w:r>
      <w:r w:rsidR="008B6618" w:rsidRPr="00D86C26">
        <w:rPr>
          <w:rFonts w:ascii="宋体" w:eastAsia="宋体" w:hAnsi="宋体" w:cs="Times New Roman" w:hint="eastAsia"/>
          <w:b/>
          <w:sz w:val="24"/>
          <w:szCs w:val="24"/>
        </w:rPr>
        <w:t>代理销售机构</w:t>
      </w:r>
      <w:r w:rsidR="008B6618">
        <w:rPr>
          <w:rFonts w:ascii="宋体" w:eastAsia="宋体" w:hAnsi="宋体" w:cs="Times New Roman" w:hint="eastAsia"/>
          <w:b/>
          <w:sz w:val="24"/>
          <w:szCs w:val="24"/>
        </w:rPr>
        <w:t>系统</w:t>
      </w:r>
      <w:r w:rsidRPr="00B5057A">
        <w:rPr>
          <w:rFonts w:ascii="宋体" w:eastAsia="宋体" w:hAnsi="宋体" w:cs="Times New Roman" w:hint="eastAsia"/>
          <w:b/>
          <w:sz w:val="24"/>
          <w:szCs w:val="24"/>
        </w:rPr>
        <w:t>而提出异议。</w:t>
      </w:r>
    </w:p>
    <w:p w14:paraId="65346496" w14:textId="77777777" w:rsidR="005E3442" w:rsidRPr="00B5057A" w:rsidRDefault="005E3442" w:rsidP="005E3442">
      <w:pPr>
        <w:pStyle w:val="a"/>
        <w:widowControl/>
        <w:spacing w:line="360" w:lineRule="auto"/>
        <w:ind w:firstLineChars="200" w:firstLine="480"/>
        <w:jc w:val="left"/>
        <w:rPr>
          <w:rFonts w:ascii="宋体" w:eastAsia="宋体" w:hAnsi="宋体" w:cs="宋体"/>
          <w:bCs/>
          <w:color w:val="000000"/>
          <w:kern w:val="0"/>
          <w:sz w:val="24"/>
          <w:szCs w:val="24"/>
        </w:rPr>
      </w:pPr>
      <w:r w:rsidRPr="00B5057A">
        <w:rPr>
          <w:rFonts w:ascii="宋体" w:eastAsia="宋体" w:hAnsi="宋体" w:cs="宋体" w:hint="eastAsia"/>
          <w:bCs/>
          <w:color w:val="000000"/>
          <w:kern w:val="0"/>
          <w:sz w:val="24"/>
          <w:szCs w:val="24"/>
        </w:rPr>
        <w:t>3、甲方知悉并确认，乙方对于理财产品项下甲方认（申）购</w:t>
      </w:r>
      <w:r w:rsidRPr="00B5057A">
        <w:rPr>
          <w:rFonts w:ascii="宋体" w:eastAsia="宋体" w:hAnsi="宋体" w:cs="宋体"/>
          <w:bCs/>
          <w:color w:val="000000"/>
          <w:kern w:val="0"/>
          <w:sz w:val="24"/>
          <w:szCs w:val="24"/>
        </w:rPr>
        <w:t>份额的确认即视为乙方对于本协议的签署和认可，受本协议约束，甲方不得以乙方不在本协议中</w:t>
      </w:r>
      <w:r w:rsidRPr="00B5057A">
        <w:rPr>
          <w:rFonts w:ascii="宋体" w:eastAsia="宋体" w:hAnsi="宋体" w:cs="宋体" w:hint="eastAsia"/>
          <w:bCs/>
          <w:color w:val="000000"/>
          <w:kern w:val="0"/>
          <w:sz w:val="24"/>
          <w:szCs w:val="24"/>
        </w:rPr>
        <w:t>签名或</w:t>
      </w:r>
      <w:r w:rsidRPr="00B5057A">
        <w:rPr>
          <w:rFonts w:ascii="宋体" w:eastAsia="宋体" w:hAnsi="宋体" w:cs="宋体"/>
          <w:bCs/>
          <w:color w:val="000000"/>
          <w:kern w:val="0"/>
          <w:sz w:val="24"/>
          <w:szCs w:val="24"/>
        </w:rPr>
        <w:t>签章为由主张本协议不成立或不生效</w:t>
      </w:r>
      <w:r w:rsidRPr="00B5057A">
        <w:rPr>
          <w:rFonts w:ascii="宋体" w:eastAsia="宋体" w:hAnsi="宋体" w:cs="宋体" w:hint="eastAsia"/>
          <w:bCs/>
          <w:color w:val="000000"/>
          <w:kern w:val="0"/>
          <w:sz w:val="24"/>
          <w:szCs w:val="24"/>
        </w:rPr>
        <w:t>。</w:t>
      </w:r>
    </w:p>
    <w:p w14:paraId="2603BDC3" w14:textId="77777777" w:rsidR="005E3442" w:rsidRPr="00890583" w:rsidRDefault="005E3442" w:rsidP="005E3442">
      <w:pPr>
        <w:pStyle w:val="a"/>
        <w:widowControl/>
        <w:spacing w:line="360" w:lineRule="auto"/>
        <w:ind w:firstLineChars="200" w:firstLine="480"/>
        <w:jc w:val="left"/>
        <w:rPr>
          <w:rFonts w:ascii="宋体" w:eastAsia="宋体" w:hAnsi="宋体" w:cs="Times New Roman"/>
          <w:b/>
          <w:bCs/>
          <w:sz w:val="24"/>
          <w:szCs w:val="24"/>
        </w:rPr>
      </w:pPr>
      <w:r w:rsidRPr="00B5057A">
        <w:rPr>
          <w:rFonts w:ascii="宋体" w:eastAsia="宋体" w:hAnsi="宋体" w:cs="宋体"/>
          <w:color w:val="000000"/>
          <w:kern w:val="0"/>
          <w:sz w:val="24"/>
          <w:szCs w:val="24"/>
        </w:rPr>
        <w:t>4、</w:t>
      </w:r>
      <w:r w:rsidRPr="00890583">
        <w:rPr>
          <w:rFonts w:ascii="宋体" w:eastAsia="宋体" w:hAnsi="宋体" w:cs="宋体" w:hint="eastAsia"/>
          <w:b/>
          <w:bCs/>
          <w:color w:val="000000"/>
          <w:kern w:val="0"/>
          <w:sz w:val="24"/>
          <w:szCs w:val="24"/>
        </w:rPr>
        <w:t>甲方通过乙方</w:t>
      </w:r>
      <w:r w:rsidRPr="00890583">
        <w:rPr>
          <w:rFonts w:ascii="宋体" w:eastAsia="宋体" w:hAnsi="宋体" w:cs="Times New Roman" w:hint="eastAsia"/>
          <w:b/>
          <w:bCs/>
          <w:sz w:val="24"/>
          <w:szCs w:val="24"/>
        </w:rPr>
        <w:t>或</w:t>
      </w:r>
      <w:r w:rsidRPr="00890583">
        <w:rPr>
          <w:rFonts w:ascii="宋体" w:eastAsia="宋体" w:hAnsi="宋体" w:cs="宋体" w:hint="eastAsia"/>
          <w:b/>
          <w:bCs/>
          <w:color w:val="000000"/>
          <w:kern w:val="0"/>
          <w:sz w:val="24"/>
          <w:szCs w:val="24"/>
        </w:rPr>
        <w:t>代理销售机构提交的有效理财产品认（申）购</w:t>
      </w:r>
      <w:r w:rsidRPr="00890583">
        <w:rPr>
          <w:rFonts w:ascii="宋体" w:eastAsia="宋体" w:hAnsi="宋体" w:cs="宋体"/>
          <w:b/>
          <w:bCs/>
          <w:color w:val="000000"/>
          <w:kern w:val="0"/>
          <w:sz w:val="24"/>
          <w:szCs w:val="24"/>
        </w:rPr>
        <w:t>/撤单申请，</w:t>
      </w:r>
      <w:r w:rsidRPr="00890583">
        <w:rPr>
          <w:rFonts w:ascii="宋体" w:eastAsia="宋体" w:hAnsi="宋体" w:cs="宋体" w:hint="eastAsia"/>
          <w:b/>
          <w:bCs/>
          <w:color w:val="000000"/>
          <w:kern w:val="0"/>
          <w:sz w:val="24"/>
          <w:szCs w:val="24"/>
        </w:rPr>
        <w:t>并不意味着理财产品认（申）购/撤单一定成功，具体</w:t>
      </w:r>
      <w:r w:rsidRPr="00890583">
        <w:rPr>
          <w:rFonts w:ascii="宋体" w:eastAsia="宋体" w:hAnsi="宋体" w:cs="宋体" w:hint="eastAsia"/>
          <w:b/>
          <w:bCs/>
          <w:kern w:val="0"/>
          <w:sz w:val="24"/>
          <w:szCs w:val="24"/>
        </w:rPr>
        <w:t>认（申）购</w:t>
      </w:r>
      <w:r w:rsidRPr="00890583">
        <w:rPr>
          <w:rFonts w:ascii="宋体" w:eastAsia="宋体" w:hAnsi="宋体" w:cs="宋体"/>
          <w:b/>
          <w:bCs/>
          <w:color w:val="000000"/>
          <w:kern w:val="0"/>
          <w:sz w:val="24"/>
          <w:szCs w:val="24"/>
        </w:rPr>
        <w:t>/撤单的受理结果根据《</w:t>
      </w:r>
      <w:r w:rsidRPr="00890583">
        <w:rPr>
          <w:rFonts w:ascii="宋体" w:eastAsia="宋体" w:hAnsi="宋体" w:cs="宋体" w:hint="eastAsia"/>
          <w:b/>
          <w:bCs/>
          <w:color w:val="000000"/>
          <w:kern w:val="0"/>
          <w:sz w:val="24"/>
          <w:szCs w:val="24"/>
        </w:rPr>
        <w:t>理财产品说明书》约定执行。</w:t>
      </w:r>
    </w:p>
    <w:p w14:paraId="4E2B63ED" w14:textId="77777777" w:rsidR="007A60A3" w:rsidRDefault="007A60A3" w:rsidP="007A60A3">
      <w:pPr>
        <w:pStyle w:val="a"/>
        <w:widowControl/>
        <w:spacing w:line="360" w:lineRule="auto"/>
        <w:ind w:firstLineChars="200" w:firstLine="480"/>
        <w:jc w:val="left"/>
        <w:rPr>
          <w:rFonts w:ascii="宋体" w:eastAsia="宋体" w:hAnsi="宋体" w:cs="宋体"/>
          <w:bCs/>
          <w:color w:val="000000"/>
          <w:kern w:val="0"/>
          <w:sz w:val="24"/>
          <w:szCs w:val="24"/>
        </w:rPr>
      </w:pPr>
      <w:r>
        <w:rPr>
          <w:rFonts w:ascii="宋体" w:eastAsia="宋体" w:hAnsi="宋体" w:cs="Times New Roman" w:hint="eastAsia"/>
          <w:sz w:val="24"/>
          <w:szCs w:val="24"/>
        </w:rPr>
        <w:t>5、</w:t>
      </w:r>
      <w:r w:rsidRPr="00890583">
        <w:rPr>
          <w:rFonts w:ascii="宋体" w:eastAsia="宋体" w:hAnsi="宋体" w:cs="宋体" w:hint="eastAsia"/>
          <w:b/>
          <w:color w:val="000000"/>
          <w:kern w:val="0"/>
          <w:sz w:val="24"/>
          <w:szCs w:val="24"/>
        </w:rPr>
        <w:t>甲方通过代理销售机构购买乙方理财产品时，甲方若需针对产品相关事项进行咨询或投诉，可与乙方或代理销售机构联系，乙方或代理销售机构将及时接听、记录甲方的意见或建议，并与甲方协商共同解决。</w:t>
      </w:r>
    </w:p>
    <w:p w14:paraId="550FC557" w14:textId="77777777" w:rsidR="005E3442" w:rsidRPr="00B5057A" w:rsidRDefault="005E3442" w:rsidP="005E3442">
      <w:pPr>
        <w:pStyle w:val="a"/>
        <w:widowControl/>
        <w:spacing w:line="360" w:lineRule="auto"/>
        <w:ind w:firstLineChars="200" w:firstLine="480"/>
        <w:jc w:val="left"/>
        <w:rPr>
          <w:rFonts w:ascii="宋体" w:eastAsia="宋体" w:hAnsi="宋体" w:cs="Times New Roman"/>
          <w:sz w:val="24"/>
          <w:szCs w:val="24"/>
        </w:rPr>
      </w:pPr>
      <w:r w:rsidRPr="00B5057A">
        <w:rPr>
          <w:rFonts w:ascii="宋体" w:eastAsia="宋体" w:hAnsi="宋体" w:cs="Times New Roman"/>
          <w:sz w:val="24"/>
          <w:szCs w:val="24"/>
        </w:rPr>
        <w:t>6、</w:t>
      </w:r>
      <w:r w:rsidRPr="00B5057A">
        <w:rPr>
          <w:rFonts w:ascii="宋体" w:eastAsia="宋体" w:hAnsi="宋体" w:cs="Times New Roman" w:hint="eastAsia"/>
          <w:sz w:val="24"/>
          <w:szCs w:val="24"/>
        </w:rPr>
        <w:t>本协议生效后</w:t>
      </w:r>
      <w:r w:rsidRPr="00B5057A">
        <w:rPr>
          <w:rFonts w:ascii="宋体" w:eastAsia="宋体" w:hAnsi="宋体" w:cs="Times New Roman"/>
          <w:sz w:val="24"/>
          <w:szCs w:val="24"/>
        </w:rPr>
        <w:t>,甲方在乙方认</w:t>
      </w:r>
      <w:r w:rsidRPr="00B5057A">
        <w:rPr>
          <w:rFonts w:ascii="宋体" w:eastAsia="宋体" w:hAnsi="宋体" w:cs="Times New Roman" w:hint="eastAsia"/>
          <w:sz w:val="24"/>
          <w:szCs w:val="24"/>
        </w:rPr>
        <w:t>（申）</w:t>
      </w:r>
      <w:r w:rsidRPr="00B5057A">
        <w:rPr>
          <w:rFonts w:ascii="宋体" w:eastAsia="宋体" w:hAnsi="宋体" w:cs="Times New Roman"/>
          <w:sz w:val="24"/>
          <w:szCs w:val="24"/>
        </w:rPr>
        <w:t>购</w:t>
      </w:r>
      <w:r w:rsidRPr="00B5057A">
        <w:rPr>
          <w:rFonts w:ascii="宋体" w:eastAsia="宋体" w:hAnsi="宋体" w:cs="Times New Roman" w:hint="eastAsia"/>
          <w:sz w:val="24"/>
          <w:szCs w:val="24"/>
        </w:rPr>
        <w:t>或赎回本</w:t>
      </w:r>
      <w:r w:rsidRPr="00B5057A">
        <w:rPr>
          <w:rFonts w:ascii="宋体" w:eastAsia="宋体" w:hAnsi="宋体" w:cs="Times New Roman"/>
          <w:sz w:val="24"/>
          <w:szCs w:val="24"/>
        </w:rPr>
        <w:t>产品</w:t>
      </w:r>
      <w:r w:rsidRPr="00B5057A">
        <w:rPr>
          <w:rFonts w:ascii="宋体" w:eastAsia="宋体" w:hAnsi="宋体" w:cs="Times New Roman" w:hint="eastAsia"/>
          <w:sz w:val="24"/>
          <w:szCs w:val="24"/>
        </w:rPr>
        <w:t>的任何行为</w:t>
      </w:r>
      <w:r w:rsidRPr="00B5057A">
        <w:rPr>
          <w:rFonts w:ascii="宋体" w:eastAsia="宋体" w:hAnsi="宋体" w:cs="Times New Roman"/>
          <w:sz w:val="24"/>
          <w:szCs w:val="24"/>
        </w:rPr>
        <w:t>均适用本协议，但本协议不作为甲方认</w:t>
      </w:r>
      <w:r w:rsidRPr="00B5057A">
        <w:rPr>
          <w:rFonts w:ascii="宋体" w:eastAsia="宋体" w:hAnsi="宋体" w:cs="Times New Roman" w:hint="eastAsia"/>
          <w:sz w:val="24"/>
          <w:szCs w:val="24"/>
        </w:rPr>
        <w:t>（申）</w:t>
      </w:r>
      <w:r w:rsidRPr="00B5057A">
        <w:rPr>
          <w:rFonts w:ascii="宋体" w:eastAsia="宋体" w:hAnsi="宋体" w:cs="Times New Roman"/>
          <w:sz w:val="24"/>
          <w:szCs w:val="24"/>
        </w:rPr>
        <w:t xml:space="preserve">购或持有乙方管理的特定理财产品的凭证。 </w:t>
      </w:r>
    </w:p>
    <w:p w14:paraId="59128753" w14:textId="43A5F698" w:rsidR="005E3442" w:rsidRPr="00B5057A" w:rsidRDefault="005E3442" w:rsidP="005E3442">
      <w:pPr>
        <w:pStyle w:val="a"/>
        <w:widowControl/>
        <w:spacing w:line="360" w:lineRule="auto"/>
        <w:ind w:firstLineChars="200" w:firstLine="480"/>
        <w:jc w:val="left"/>
        <w:rPr>
          <w:rFonts w:ascii="宋体" w:eastAsia="宋体" w:hAnsi="宋体" w:cs="Times New Roman"/>
          <w:sz w:val="24"/>
          <w:szCs w:val="24"/>
        </w:rPr>
      </w:pPr>
      <w:r w:rsidRPr="00B5057A">
        <w:rPr>
          <w:rFonts w:ascii="宋体" w:eastAsia="宋体" w:hAnsi="宋体" w:cs="Times New Roman"/>
          <w:sz w:val="24"/>
          <w:szCs w:val="24"/>
        </w:rPr>
        <w:t>7</w:t>
      </w:r>
      <w:r w:rsidRPr="00B5057A">
        <w:rPr>
          <w:rFonts w:ascii="宋体" w:eastAsia="宋体" w:hAnsi="宋体" w:cs="Times New Roman" w:hint="eastAsia"/>
          <w:sz w:val="24"/>
          <w:szCs w:val="24"/>
        </w:rPr>
        <w:t>、</w:t>
      </w:r>
      <w:r w:rsidRPr="00B5057A">
        <w:rPr>
          <w:rFonts w:ascii="宋体" w:eastAsia="宋体" w:hAnsi="宋体" w:cs="Times New Roman"/>
          <w:sz w:val="24"/>
          <w:szCs w:val="24"/>
        </w:rPr>
        <w:t>乙方有权不定期对本协议进行更新，</w:t>
      </w:r>
      <w:r w:rsidRPr="00B5057A">
        <w:rPr>
          <w:rFonts w:ascii="宋体" w:eastAsia="宋体" w:hAnsi="宋体" w:cs="Times New Roman" w:hint="eastAsia"/>
          <w:sz w:val="24"/>
          <w:szCs w:val="24"/>
        </w:rPr>
        <w:t>通过乙方官</w:t>
      </w:r>
      <w:r w:rsidRPr="00B5057A">
        <w:rPr>
          <w:rFonts w:ascii="宋体" w:eastAsia="宋体" w:hAnsi="宋体" w:cs="Times New Roman"/>
          <w:sz w:val="24"/>
          <w:szCs w:val="24"/>
        </w:rPr>
        <w:t>网（</w:t>
      </w:r>
      <w:r w:rsidRPr="00CF1E6B">
        <w:rPr>
          <w:rFonts w:ascii="宋体" w:eastAsia="宋体" w:hAnsi="宋体" w:cs="Times New Roman"/>
          <w:sz w:val="24"/>
          <w:szCs w:val="24"/>
        </w:rPr>
        <w:t>www.wmbnb.com</w:t>
      </w:r>
      <w:r w:rsidRPr="00B5057A">
        <w:rPr>
          <w:rFonts w:ascii="宋体" w:eastAsia="宋体" w:hAnsi="宋体" w:cs="Times New Roman"/>
          <w:sz w:val="24"/>
          <w:szCs w:val="24"/>
        </w:rPr>
        <w:t>）、相关理财代理销售机构官方渠道或其他</w:t>
      </w:r>
      <w:r w:rsidR="002519D3" w:rsidRPr="00B5057A">
        <w:rPr>
          <w:rFonts w:ascii="宋体" w:eastAsia="宋体" w:hAnsi="宋体" w:cs="Times New Roman"/>
          <w:sz w:val="24"/>
          <w:szCs w:val="24"/>
        </w:rPr>
        <w:t>适当的</w:t>
      </w:r>
      <w:r w:rsidRPr="00B5057A">
        <w:rPr>
          <w:rFonts w:ascii="宋体" w:eastAsia="宋体" w:hAnsi="宋体" w:cs="Times New Roman"/>
          <w:sz w:val="24"/>
          <w:szCs w:val="24"/>
        </w:rPr>
        <w:t>方式进行信息披露（具体产品的信息披露方式、频率等</w:t>
      </w:r>
      <w:proofErr w:type="gramStart"/>
      <w:r w:rsidRPr="00B5057A">
        <w:rPr>
          <w:rFonts w:ascii="宋体" w:eastAsia="宋体" w:hAnsi="宋体" w:cs="Times New Roman"/>
          <w:sz w:val="24"/>
          <w:szCs w:val="24"/>
        </w:rPr>
        <w:t>规则见</w:t>
      </w:r>
      <w:proofErr w:type="gramEnd"/>
      <w:r w:rsidRPr="00B5057A">
        <w:rPr>
          <w:rFonts w:ascii="宋体" w:eastAsia="宋体" w:hAnsi="宋体" w:cs="Times New Roman"/>
          <w:sz w:val="24"/>
          <w:szCs w:val="24"/>
        </w:rPr>
        <w:t>《理财产品说明书》）。</w:t>
      </w:r>
      <w:r w:rsidRPr="00B5057A">
        <w:rPr>
          <w:rFonts w:ascii="宋体" w:eastAsia="宋体" w:hAnsi="宋体" w:cs="Times New Roman"/>
          <w:b/>
          <w:bCs/>
          <w:sz w:val="24"/>
          <w:szCs w:val="24"/>
        </w:rPr>
        <w:t>乙方更新本协议并进行披露后，如甲方购买</w:t>
      </w:r>
      <w:r w:rsidRPr="00B5057A">
        <w:rPr>
          <w:rFonts w:ascii="宋体" w:eastAsia="宋体" w:hAnsi="宋体" w:cs="Times New Roman" w:hint="eastAsia"/>
          <w:b/>
          <w:bCs/>
          <w:sz w:val="24"/>
          <w:szCs w:val="24"/>
        </w:rPr>
        <w:t>、</w:t>
      </w:r>
      <w:r w:rsidRPr="00B5057A">
        <w:rPr>
          <w:rFonts w:ascii="宋体" w:eastAsia="宋体" w:hAnsi="宋体" w:cs="Times New Roman"/>
          <w:b/>
          <w:bCs/>
          <w:sz w:val="24"/>
          <w:szCs w:val="24"/>
        </w:rPr>
        <w:t>或继续持有</w:t>
      </w:r>
      <w:r w:rsidRPr="00B5057A">
        <w:rPr>
          <w:rFonts w:ascii="宋体" w:eastAsia="宋体" w:hAnsi="宋体" w:cs="Times New Roman" w:hint="eastAsia"/>
          <w:b/>
          <w:bCs/>
          <w:sz w:val="24"/>
          <w:szCs w:val="24"/>
        </w:rPr>
        <w:t>本</w:t>
      </w:r>
      <w:r w:rsidRPr="00B5057A">
        <w:rPr>
          <w:rFonts w:ascii="宋体" w:eastAsia="宋体" w:hAnsi="宋体" w:cs="Times New Roman"/>
          <w:b/>
          <w:bCs/>
          <w:sz w:val="24"/>
          <w:szCs w:val="24"/>
        </w:rPr>
        <w:t>理财产品</w:t>
      </w:r>
      <w:r w:rsidRPr="00B5057A">
        <w:rPr>
          <w:rFonts w:ascii="宋体" w:eastAsia="宋体" w:hAnsi="宋体" w:cs="Times New Roman" w:hint="eastAsia"/>
          <w:b/>
          <w:bCs/>
          <w:sz w:val="24"/>
          <w:szCs w:val="24"/>
        </w:rPr>
        <w:t>的</w:t>
      </w:r>
      <w:r w:rsidRPr="00B5057A">
        <w:rPr>
          <w:rFonts w:ascii="宋体" w:eastAsia="宋体" w:hAnsi="宋体" w:cs="Times New Roman"/>
          <w:b/>
          <w:bCs/>
          <w:sz w:val="24"/>
          <w:szCs w:val="24"/>
        </w:rPr>
        <w:t>，则视为甲方完全接受</w:t>
      </w:r>
      <w:r w:rsidRPr="00B5057A">
        <w:rPr>
          <w:rFonts w:ascii="宋体" w:eastAsia="宋体" w:hAnsi="宋体" w:cs="Times New Roman" w:hint="eastAsia"/>
          <w:b/>
          <w:bCs/>
          <w:sz w:val="24"/>
          <w:szCs w:val="24"/>
        </w:rPr>
        <w:t>最新版本协议</w:t>
      </w:r>
      <w:r w:rsidRPr="00B5057A">
        <w:rPr>
          <w:rFonts w:ascii="宋体" w:eastAsia="宋体" w:hAnsi="宋体" w:cs="Times New Roman"/>
          <w:b/>
          <w:bCs/>
          <w:sz w:val="24"/>
          <w:szCs w:val="24"/>
        </w:rPr>
        <w:t>的所有内容。</w:t>
      </w:r>
    </w:p>
    <w:p w14:paraId="36DE6A7F" w14:textId="77777777" w:rsidR="005E3442" w:rsidRPr="00B5057A" w:rsidRDefault="005E3442" w:rsidP="005E3442">
      <w:pPr>
        <w:pStyle w:val="a"/>
        <w:spacing w:line="360" w:lineRule="auto"/>
        <w:ind w:firstLineChars="200" w:firstLine="482"/>
        <w:rPr>
          <w:rFonts w:ascii="宋体" w:eastAsia="宋体" w:hAnsi="宋体" w:cs="Times New Roman"/>
          <w:b/>
          <w:sz w:val="24"/>
          <w:szCs w:val="24"/>
        </w:rPr>
      </w:pPr>
      <w:r w:rsidRPr="00B5057A">
        <w:rPr>
          <w:rFonts w:ascii="宋体" w:eastAsia="宋体" w:hAnsi="宋体" w:cs="Times New Roman" w:hint="eastAsia"/>
          <w:b/>
          <w:sz w:val="24"/>
          <w:szCs w:val="24"/>
        </w:rPr>
        <w:t>（二）协议终止</w:t>
      </w:r>
    </w:p>
    <w:p w14:paraId="0DA860D5" w14:textId="77777777" w:rsidR="005E3442" w:rsidRPr="00B5057A" w:rsidRDefault="005E3442" w:rsidP="005E3442">
      <w:pPr>
        <w:pStyle w:val="a"/>
        <w:spacing w:line="360" w:lineRule="auto"/>
        <w:ind w:firstLineChars="200" w:firstLine="480"/>
        <w:rPr>
          <w:rFonts w:ascii="宋体" w:eastAsia="宋体" w:hAnsi="宋体" w:cs="Times New Roman"/>
          <w:sz w:val="24"/>
          <w:szCs w:val="24"/>
        </w:rPr>
      </w:pPr>
      <w:r w:rsidRPr="00B5057A">
        <w:rPr>
          <w:rFonts w:ascii="宋体" w:eastAsia="宋体" w:hAnsi="宋体" w:cs="Times New Roman" w:hint="eastAsia"/>
          <w:sz w:val="24"/>
          <w:szCs w:val="24"/>
        </w:rPr>
        <w:t>1、</w:t>
      </w:r>
      <w:r w:rsidRPr="00B5057A">
        <w:rPr>
          <w:rFonts w:ascii="宋体" w:eastAsia="宋体" w:hAnsi="宋体" w:cs="Times New Roman"/>
          <w:sz w:val="24"/>
          <w:szCs w:val="24"/>
        </w:rPr>
        <w:t>除《理财产品说明书》约定的提前终止情形外，甲方</w:t>
      </w:r>
      <w:r w:rsidRPr="00B5057A">
        <w:rPr>
          <w:rFonts w:ascii="宋体" w:eastAsia="宋体" w:hAnsi="宋体" w:cs="Times New Roman" w:hint="eastAsia"/>
          <w:sz w:val="24"/>
          <w:szCs w:val="24"/>
        </w:rPr>
        <w:t>发生违反理财</w:t>
      </w:r>
      <w:r w:rsidRPr="00B5057A">
        <w:rPr>
          <w:rFonts w:ascii="宋体" w:eastAsia="宋体" w:hAnsi="宋体" w:cs="Times New Roman"/>
          <w:sz w:val="24"/>
          <w:szCs w:val="24"/>
        </w:rPr>
        <w:t>产品销售文件</w:t>
      </w:r>
      <w:r w:rsidRPr="00B5057A">
        <w:rPr>
          <w:rFonts w:ascii="宋体" w:eastAsia="宋体" w:hAnsi="宋体" w:cs="Times New Roman" w:hint="eastAsia"/>
          <w:sz w:val="24"/>
          <w:szCs w:val="24"/>
        </w:rPr>
        <w:t>的</w:t>
      </w:r>
      <w:r w:rsidRPr="00B5057A">
        <w:rPr>
          <w:rFonts w:ascii="宋体" w:eastAsia="宋体" w:hAnsi="宋体" w:cs="Times New Roman"/>
          <w:sz w:val="24"/>
          <w:szCs w:val="24"/>
        </w:rPr>
        <w:t>违约行为或</w:t>
      </w:r>
      <w:r w:rsidRPr="00B5057A">
        <w:rPr>
          <w:rFonts w:ascii="宋体" w:eastAsia="宋体" w:hAnsi="宋体" w:cs="Times New Roman" w:hint="eastAsia"/>
          <w:sz w:val="24"/>
          <w:szCs w:val="24"/>
        </w:rPr>
        <w:t>交易资金被国家有权机关采取冻结、扣划等保全措施时，乙方有权提前终止本协议，造成甲方损失的，乙方不承担责任。</w:t>
      </w:r>
    </w:p>
    <w:p w14:paraId="0F9784ED" w14:textId="77777777" w:rsidR="005E3442" w:rsidRPr="00B5057A" w:rsidRDefault="005E3442" w:rsidP="005E3442">
      <w:pPr>
        <w:pStyle w:val="a"/>
        <w:spacing w:line="360" w:lineRule="auto"/>
        <w:ind w:firstLineChars="200" w:firstLine="480"/>
        <w:rPr>
          <w:rFonts w:ascii="宋体" w:eastAsia="宋体" w:hAnsi="宋体" w:cs="Times New Roman"/>
          <w:sz w:val="24"/>
          <w:szCs w:val="24"/>
        </w:rPr>
      </w:pPr>
      <w:r w:rsidRPr="00B5057A">
        <w:rPr>
          <w:rFonts w:ascii="宋体" w:eastAsia="宋体" w:hAnsi="宋体" w:cs="Times New Roman" w:hint="eastAsia"/>
          <w:sz w:val="24"/>
          <w:szCs w:val="24"/>
        </w:rPr>
        <w:t>2、</w:t>
      </w:r>
      <w:r w:rsidRPr="00B5057A">
        <w:rPr>
          <w:rFonts w:ascii="宋体" w:eastAsia="宋体" w:hAnsi="宋体" w:cs="Times New Roman"/>
          <w:sz w:val="24"/>
          <w:szCs w:val="24"/>
        </w:rPr>
        <w:t>如甲方拒绝配合乙方开展尽职调查，或</w:t>
      </w:r>
      <w:r w:rsidRPr="00B5057A">
        <w:rPr>
          <w:rFonts w:ascii="宋体" w:eastAsia="宋体" w:hAnsi="宋体" w:cs="Times New Roman" w:hint="eastAsia"/>
          <w:sz w:val="24"/>
          <w:szCs w:val="24"/>
        </w:rPr>
        <w:t>者</w:t>
      </w:r>
      <w:r w:rsidRPr="00B5057A">
        <w:rPr>
          <w:rFonts w:ascii="宋体" w:eastAsia="宋体" w:hAnsi="宋体" w:cs="Times New Roman"/>
          <w:sz w:val="24"/>
          <w:szCs w:val="24"/>
        </w:rPr>
        <w:t>乙方发现有关甲方交易</w:t>
      </w:r>
      <w:r w:rsidRPr="00B5057A">
        <w:rPr>
          <w:rFonts w:ascii="宋体" w:eastAsia="宋体" w:hAnsi="宋体" w:cs="Times New Roman" w:hint="eastAsia"/>
          <w:sz w:val="24"/>
          <w:szCs w:val="24"/>
        </w:rPr>
        <w:t>存在违法违规，或者乙方发现或有合理理由怀疑甲方或其资金存在洗钱、欺诈、侵权、贩毒、恐怖融资、逃税、侵犯知识产权或其他违法犯罪活动，或者甲方或其交易等被列入国际组织、中国或其他国家发布的制裁名单或制裁范围，乙方有权提前终止本协议，造成甲方损失的，乙方不承担责任。</w:t>
      </w:r>
    </w:p>
    <w:p w14:paraId="42D33EC1" w14:textId="77777777" w:rsidR="005E3442" w:rsidRPr="00B5057A" w:rsidRDefault="005E3442" w:rsidP="005E3442">
      <w:pPr>
        <w:pStyle w:val="a"/>
        <w:spacing w:line="360" w:lineRule="auto"/>
        <w:ind w:firstLineChars="200" w:firstLine="480"/>
        <w:rPr>
          <w:rFonts w:ascii="宋体" w:eastAsia="宋体" w:hAnsi="宋体" w:cs="Times New Roman"/>
          <w:sz w:val="24"/>
          <w:szCs w:val="24"/>
        </w:rPr>
      </w:pPr>
      <w:r w:rsidRPr="00B5057A">
        <w:rPr>
          <w:rFonts w:ascii="宋体" w:eastAsia="宋体" w:hAnsi="宋体" w:cs="Times New Roman" w:hint="eastAsia"/>
          <w:sz w:val="24"/>
          <w:szCs w:val="24"/>
        </w:rPr>
        <w:t>3、乙方宣布本理财产品设立失败、乙方或投资者提前终止理财产品（包括但</w:t>
      </w:r>
      <w:r w:rsidRPr="00B5057A">
        <w:rPr>
          <w:rFonts w:ascii="宋体" w:eastAsia="宋体" w:hAnsi="宋体" w:cs="Times New Roman"/>
          <w:sz w:val="24"/>
          <w:szCs w:val="24"/>
        </w:rPr>
        <w:t>不限于</w:t>
      </w:r>
      <w:r w:rsidRPr="00B5057A">
        <w:rPr>
          <w:rFonts w:ascii="宋体" w:eastAsia="宋体" w:hAnsi="宋体" w:cs="Times New Roman" w:hint="eastAsia"/>
          <w:sz w:val="24"/>
          <w:szCs w:val="24"/>
        </w:rPr>
        <w:t>投资者全部赎回理财产品份额）或者理财产品到期并完成清算分配后，本协议自动终止。</w:t>
      </w:r>
    </w:p>
    <w:p w14:paraId="3D1B56F8" w14:textId="77777777" w:rsidR="005E3442" w:rsidRPr="00B5057A" w:rsidRDefault="005E3442" w:rsidP="005E3442">
      <w:pPr>
        <w:pStyle w:val="a"/>
        <w:spacing w:line="360" w:lineRule="auto"/>
        <w:ind w:firstLineChars="200" w:firstLine="480"/>
        <w:rPr>
          <w:rFonts w:ascii="宋体" w:eastAsia="宋体" w:hAnsi="宋体" w:cs="Times New Roman"/>
          <w:sz w:val="24"/>
          <w:szCs w:val="24"/>
        </w:rPr>
      </w:pPr>
      <w:r w:rsidRPr="00B5057A">
        <w:rPr>
          <w:rFonts w:ascii="宋体" w:eastAsia="宋体" w:hAnsi="宋体" w:cs="Times New Roman"/>
          <w:sz w:val="24"/>
          <w:szCs w:val="24"/>
        </w:rPr>
        <w:t>4、</w:t>
      </w:r>
      <w:r w:rsidRPr="00890583">
        <w:rPr>
          <w:rFonts w:ascii="宋体" w:eastAsia="宋体" w:hAnsi="宋体" w:cs="Times New Roman" w:hint="eastAsia"/>
          <w:b/>
          <w:bCs/>
          <w:sz w:val="24"/>
          <w:szCs w:val="24"/>
        </w:rPr>
        <w:t>甲方通过乙方或代理销售机构提交的有效理财产品赎回</w:t>
      </w:r>
      <w:r w:rsidRPr="00890583">
        <w:rPr>
          <w:rFonts w:ascii="宋体" w:eastAsia="宋体" w:hAnsi="宋体" w:cs="Times New Roman"/>
          <w:b/>
          <w:bCs/>
          <w:sz w:val="24"/>
          <w:szCs w:val="24"/>
        </w:rPr>
        <w:t>/撤单申请，并不意味着理</w:t>
      </w:r>
      <w:r w:rsidRPr="00890583">
        <w:rPr>
          <w:rFonts w:ascii="宋体" w:eastAsia="宋体" w:hAnsi="宋体" w:cs="Times New Roman" w:hint="eastAsia"/>
          <w:b/>
          <w:bCs/>
          <w:sz w:val="24"/>
          <w:szCs w:val="24"/>
        </w:rPr>
        <w:t>财产品赎回</w:t>
      </w:r>
      <w:r w:rsidRPr="00890583">
        <w:rPr>
          <w:rFonts w:ascii="宋体" w:eastAsia="宋体" w:hAnsi="宋体" w:cs="Times New Roman"/>
          <w:b/>
          <w:bCs/>
          <w:sz w:val="24"/>
          <w:szCs w:val="24"/>
        </w:rPr>
        <w:t>/撤单一定成功，具体赎回/撤单的受理结果根据《</w:t>
      </w:r>
      <w:r w:rsidRPr="00890583">
        <w:rPr>
          <w:rFonts w:ascii="宋体" w:eastAsia="宋体" w:hAnsi="宋体" w:cs="Times New Roman" w:hint="eastAsia"/>
          <w:b/>
          <w:bCs/>
          <w:sz w:val="24"/>
          <w:szCs w:val="24"/>
        </w:rPr>
        <w:t>理财</w:t>
      </w:r>
      <w:r w:rsidRPr="00890583">
        <w:rPr>
          <w:rFonts w:ascii="宋体" w:eastAsia="宋体" w:hAnsi="宋体" w:cs="Times New Roman"/>
          <w:b/>
          <w:bCs/>
          <w:sz w:val="24"/>
          <w:szCs w:val="24"/>
        </w:rPr>
        <w:t>产品说明书》约定</w:t>
      </w:r>
      <w:r w:rsidRPr="00890583">
        <w:rPr>
          <w:rFonts w:ascii="宋体" w:eastAsia="宋体" w:hAnsi="宋体" w:cs="Times New Roman" w:hint="eastAsia"/>
          <w:b/>
          <w:bCs/>
          <w:sz w:val="24"/>
          <w:szCs w:val="24"/>
        </w:rPr>
        <w:t>执行。</w:t>
      </w:r>
    </w:p>
    <w:p w14:paraId="5CE42E4D" w14:textId="77777777" w:rsidR="005E3442" w:rsidRPr="00B5057A" w:rsidRDefault="005E3442" w:rsidP="005E3442">
      <w:pPr>
        <w:pStyle w:val="a"/>
        <w:spacing w:line="360" w:lineRule="auto"/>
        <w:ind w:firstLineChars="200" w:firstLine="480"/>
        <w:rPr>
          <w:rFonts w:ascii="宋体" w:eastAsia="宋体" w:hAnsi="宋体" w:cs="Times New Roman"/>
          <w:sz w:val="24"/>
          <w:szCs w:val="24"/>
        </w:rPr>
      </w:pPr>
      <w:r w:rsidRPr="00B5057A">
        <w:rPr>
          <w:rFonts w:ascii="宋体" w:eastAsia="宋体" w:hAnsi="宋体" w:cs="Times New Roman" w:hint="eastAsia"/>
          <w:sz w:val="24"/>
          <w:szCs w:val="24"/>
        </w:rPr>
        <w:t>5、</w:t>
      </w:r>
      <w:r w:rsidRPr="00B5057A">
        <w:rPr>
          <w:rFonts w:ascii="宋体" w:eastAsia="宋体" w:hAnsi="宋体" w:cs="Times New Roman"/>
          <w:sz w:val="24"/>
          <w:szCs w:val="24"/>
        </w:rPr>
        <w:t>本协议及《</w:t>
      </w:r>
      <w:r w:rsidRPr="00B5057A">
        <w:rPr>
          <w:rFonts w:ascii="宋体" w:eastAsia="宋体" w:hAnsi="宋体" w:cs="Times New Roman" w:hint="eastAsia"/>
          <w:sz w:val="24"/>
          <w:szCs w:val="24"/>
        </w:rPr>
        <w:t>理财</w:t>
      </w:r>
      <w:r w:rsidRPr="00B5057A">
        <w:rPr>
          <w:rFonts w:ascii="宋体" w:eastAsia="宋体" w:hAnsi="宋体" w:cs="Times New Roman"/>
          <w:sz w:val="24"/>
          <w:szCs w:val="24"/>
        </w:rPr>
        <w:t>产品说明书》项</w:t>
      </w:r>
      <w:proofErr w:type="gramStart"/>
      <w:r w:rsidRPr="00B5057A">
        <w:rPr>
          <w:rFonts w:ascii="宋体" w:eastAsia="宋体" w:hAnsi="宋体" w:cs="Times New Roman"/>
          <w:sz w:val="24"/>
          <w:szCs w:val="24"/>
        </w:rPr>
        <w:t>下各方</w:t>
      </w:r>
      <w:proofErr w:type="gramEnd"/>
      <w:r w:rsidRPr="00B5057A">
        <w:rPr>
          <w:rFonts w:ascii="宋体" w:eastAsia="宋体" w:hAnsi="宋体" w:cs="Times New Roman"/>
          <w:sz w:val="24"/>
          <w:szCs w:val="24"/>
        </w:rPr>
        <w:t>权利义务履行完毕之日，本协议自动终</w:t>
      </w:r>
      <w:r w:rsidRPr="00B5057A">
        <w:rPr>
          <w:rFonts w:ascii="宋体" w:eastAsia="宋体" w:hAnsi="宋体" w:cs="Times New Roman" w:hint="eastAsia"/>
          <w:sz w:val="24"/>
          <w:szCs w:val="24"/>
        </w:rPr>
        <w:t>止。</w:t>
      </w:r>
    </w:p>
    <w:p w14:paraId="38D12161" w14:textId="77777777" w:rsidR="005E3442" w:rsidRPr="00B5057A" w:rsidRDefault="005E3442" w:rsidP="005E3442">
      <w:pPr>
        <w:pStyle w:val="a"/>
        <w:spacing w:line="360" w:lineRule="auto"/>
        <w:ind w:firstLineChars="200" w:firstLine="482"/>
        <w:rPr>
          <w:rFonts w:ascii="宋体" w:eastAsia="宋体" w:hAnsi="宋体" w:cs="Times New Roman"/>
          <w:b/>
          <w:sz w:val="24"/>
          <w:szCs w:val="24"/>
        </w:rPr>
      </w:pPr>
      <w:r w:rsidRPr="00B5057A">
        <w:rPr>
          <w:rFonts w:ascii="宋体" w:eastAsia="宋体" w:hAnsi="宋体" w:cs="Times New Roman" w:hint="eastAsia"/>
          <w:b/>
          <w:sz w:val="24"/>
          <w:szCs w:val="24"/>
        </w:rPr>
        <w:t>第七条</w:t>
      </w:r>
      <w:r w:rsidRPr="00B5057A">
        <w:rPr>
          <w:rFonts w:ascii="宋体" w:eastAsia="宋体" w:hAnsi="宋体" w:cs="Times New Roman"/>
          <w:sz w:val="24"/>
          <w:szCs w:val="24"/>
        </w:rPr>
        <w:t xml:space="preserve"> </w:t>
      </w:r>
      <w:r w:rsidRPr="00B5057A">
        <w:rPr>
          <w:rFonts w:ascii="宋体" w:eastAsia="宋体" w:hAnsi="宋体" w:cs="Times New Roman" w:hint="eastAsia"/>
          <w:b/>
          <w:sz w:val="24"/>
          <w:szCs w:val="24"/>
        </w:rPr>
        <w:t>本协议与本理财产品的《理财产品说明书》、《风险揭示书》、《销售（代理销售）协议书》、《投资者权益须知》等理财产品销售文件共同构成一份完整且不可分割的、关于甲方所投资乙方发行</w:t>
      </w:r>
      <w:r w:rsidRPr="00B5057A">
        <w:rPr>
          <w:rFonts w:ascii="宋体" w:eastAsia="宋体" w:hAnsi="宋体" w:cs="Times New Roman"/>
          <w:b/>
          <w:sz w:val="24"/>
          <w:szCs w:val="24"/>
        </w:rPr>
        <w:t>管理的本</w:t>
      </w:r>
      <w:r w:rsidRPr="00B5057A">
        <w:rPr>
          <w:rFonts w:ascii="宋体" w:eastAsia="宋体" w:hAnsi="宋体" w:cs="Times New Roman" w:hint="eastAsia"/>
          <w:b/>
          <w:sz w:val="24"/>
          <w:szCs w:val="24"/>
        </w:rPr>
        <w:t>理财产品的全部协议。本协议与《理财产品说明书》不一致的，以《理财产品说明书》为准。如果因任何原因使本协议项下的任何条款或内容无效或被依法撤销，本协议其他条款或内容的合法性、有效性和</w:t>
      </w:r>
      <w:proofErr w:type="gramStart"/>
      <w:r w:rsidRPr="00B5057A">
        <w:rPr>
          <w:rFonts w:ascii="宋体" w:eastAsia="宋体" w:hAnsi="宋体" w:cs="Times New Roman" w:hint="eastAsia"/>
          <w:b/>
          <w:sz w:val="24"/>
          <w:szCs w:val="24"/>
        </w:rPr>
        <w:t>可</w:t>
      </w:r>
      <w:proofErr w:type="gramEnd"/>
      <w:r w:rsidRPr="00B5057A">
        <w:rPr>
          <w:rFonts w:ascii="宋体" w:eastAsia="宋体" w:hAnsi="宋体" w:cs="Times New Roman" w:hint="eastAsia"/>
          <w:b/>
          <w:sz w:val="24"/>
          <w:szCs w:val="24"/>
        </w:rPr>
        <w:t>执行性不受影响。</w:t>
      </w:r>
    </w:p>
    <w:p w14:paraId="49FA652C" w14:textId="77777777" w:rsidR="005E3442" w:rsidRPr="00B5057A" w:rsidRDefault="005E3442" w:rsidP="005E3442">
      <w:pPr>
        <w:pStyle w:val="a"/>
        <w:spacing w:line="360" w:lineRule="auto"/>
        <w:ind w:firstLineChars="200" w:firstLine="480"/>
        <w:rPr>
          <w:rFonts w:ascii="宋体" w:eastAsia="宋体" w:hAnsi="宋体" w:cs="Times New Roman"/>
          <w:sz w:val="24"/>
          <w:szCs w:val="24"/>
        </w:rPr>
      </w:pPr>
    </w:p>
    <w:p w14:paraId="26082825" w14:textId="77777777" w:rsidR="005E3442" w:rsidRPr="00B5057A" w:rsidRDefault="005E3442" w:rsidP="005E3442">
      <w:pPr>
        <w:pStyle w:val="a"/>
        <w:spacing w:line="360" w:lineRule="auto"/>
        <w:ind w:firstLineChars="200" w:firstLine="482"/>
        <w:rPr>
          <w:rFonts w:ascii="宋体" w:eastAsia="宋体" w:hAnsi="宋体" w:cs="Times New Roman"/>
          <w:b/>
          <w:sz w:val="24"/>
          <w:szCs w:val="24"/>
        </w:rPr>
      </w:pPr>
      <w:r w:rsidRPr="00B5057A">
        <w:rPr>
          <w:rFonts w:ascii="宋体" w:eastAsia="宋体" w:hAnsi="宋体" w:cs="Times New Roman" w:hint="eastAsia"/>
          <w:b/>
          <w:sz w:val="24"/>
          <w:szCs w:val="24"/>
        </w:rPr>
        <w:t>声明：甲方是具有完全民事行为能力的自然人/法人/其他</w:t>
      </w:r>
      <w:r w:rsidRPr="00B5057A">
        <w:rPr>
          <w:rFonts w:ascii="宋体" w:eastAsia="宋体" w:hAnsi="宋体" w:cs="Times New Roman"/>
          <w:b/>
          <w:sz w:val="24"/>
          <w:szCs w:val="24"/>
        </w:rPr>
        <w:t>组织</w:t>
      </w:r>
      <w:r w:rsidRPr="00B5057A">
        <w:rPr>
          <w:rFonts w:ascii="宋体" w:eastAsia="宋体" w:hAnsi="宋体" w:cs="Times New Roman" w:hint="eastAsia"/>
          <w:b/>
          <w:sz w:val="24"/>
          <w:szCs w:val="24"/>
        </w:rPr>
        <w:t>，自愿投资本理财产品，接受乙方提供的投资理财服务。甲方确认已完整阅读本理财产品的《理财产品说明书》、《风险揭示书》、《销售（代理销售）协议书》、《投资者权益须知》及</w:t>
      </w:r>
      <w:r w:rsidRPr="00B5057A">
        <w:rPr>
          <w:rFonts w:ascii="宋体" w:eastAsia="宋体" w:hAnsi="宋体" w:cs="Times New Roman"/>
          <w:b/>
          <w:sz w:val="24"/>
          <w:szCs w:val="24"/>
        </w:rPr>
        <w:t>本</w:t>
      </w:r>
      <w:r w:rsidRPr="00B5057A">
        <w:rPr>
          <w:rFonts w:ascii="宋体" w:eastAsia="宋体" w:hAnsi="宋体" w:cs="Times New Roman" w:hint="eastAsia"/>
          <w:b/>
          <w:sz w:val="24"/>
          <w:szCs w:val="24"/>
        </w:rPr>
        <w:t>协议，并知晓清楚全部条款，签署</w:t>
      </w:r>
      <w:r w:rsidRPr="00B5057A">
        <w:rPr>
          <w:rFonts w:ascii="宋体" w:eastAsia="宋体" w:hAnsi="宋体" w:cs="Times New Roman"/>
          <w:b/>
          <w:sz w:val="24"/>
          <w:szCs w:val="24"/>
        </w:rPr>
        <w:t>本协议视为对前述</w:t>
      </w:r>
      <w:r w:rsidRPr="00B5057A">
        <w:rPr>
          <w:rFonts w:ascii="宋体" w:eastAsia="宋体" w:hAnsi="宋体" w:cs="Times New Roman" w:hint="eastAsia"/>
          <w:b/>
          <w:sz w:val="24"/>
          <w:szCs w:val="24"/>
        </w:rPr>
        <w:t>理财产品</w:t>
      </w:r>
      <w:r w:rsidRPr="00B5057A">
        <w:rPr>
          <w:rFonts w:ascii="宋体" w:eastAsia="宋体" w:hAnsi="宋体" w:cs="Times New Roman"/>
          <w:b/>
          <w:sz w:val="24"/>
          <w:szCs w:val="24"/>
        </w:rPr>
        <w:t>销售文件的</w:t>
      </w:r>
      <w:r w:rsidRPr="00B5057A">
        <w:rPr>
          <w:rFonts w:ascii="宋体" w:eastAsia="宋体" w:hAnsi="宋体" w:cs="Times New Roman" w:hint="eastAsia"/>
          <w:b/>
          <w:sz w:val="24"/>
          <w:szCs w:val="24"/>
        </w:rPr>
        <w:t>签署</w:t>
      </w:r>
      <w:r w:rsidRPr="00B5057A">
        <w:rPr>
          <w:rFonts w:ascii="宋体" w:eastAsia="宋体" w:hAnsi="宋体" w:cs="Times New Roman"/>
          <w:b/>
          <w:sz w:val="24"/>
          <w:szCs w:val="24"/>
        </w:rPr>
        <w:t>与确认，</w:t>
      </w:r>
      <w:r w:rsidRPr="00B5057A">
        <w:rPr>
          <w:rFonts w:ascii="宋体" w:eastAsia="宋体" w:hAnsi="宋体" w:cs="Times New Roman" w:hint="eastAsia"/>
          <w:b/>
          <w:sz w:val="24"/>
          <w:szCs w:val="24"/>
        </w:rPr>
        <w:t>甲方对本协议相关条款不存在任何疑问或异议。</w:t>
      </w:r>
    </w:p>
    <w:p w14:paraId="21F8E125" w14:textId="77777777" w:rsidR="005E3442" w:rsidRPr="00B5057A" w:rsidRDefault="005E3442" w:rsidP="005E3442">
      <w:pPr>
        <w:pStyle w:val="a"/>
        <w:spacing w:line="360" w:lineRule="auto"/>
        <w:ind w:firstLineChars="200" w:firstLine="482"/>
        <w:rPr>
          <w:rFonts w:ascii="宋体" w:eastAsia="宋体" w:hAnsi="宋体" w:cs="Times New Roman"/>
          <w:b/>
          <w:sz w:val="24"/>
          <w:szCs w:val="24"/>
        </w:rPr>
      </w:pPr>
    </w:p>
    <w:p w14:paraId="63E209C7" w14:textId="77777777" w:rsidR="005E3442" w:rsidRPr="00B5057A" w:rsidRDefault="005E3442" w:rsidP="005E3442">
      <w:pPr>
        <w:pStyle w:val="a"/>
        <w:tabs>
          <w:tab w:val="left" w:pos="3460"/>
        </w:tabs>
        <w:spacing w:line="312" w:lineRule="auto"/>
        <w:ind w:leftChars="30" w:left="63"/>
        <w:rPr>
          <w:rFonts w:ascii="宋体" w:eastAsia="等线" w:hAnsi="宋体" w:cs="宋体"/>
          <w:b/>
          <w:bCs/>
          <w:kern w:val="0"/>
          <w:sz w:val="24"/>
        </w:rPr>
      </w:pPr>
      <w:r w:rsidRPr="00B5057A">
        <w:rPr>
          <w:rFonts w:ascii="宋体" w:eastAsia="等线" w:hAnsi="宋体" w:cs="宋体" w:hint="eastAsia"/>
          <w:b/>
          <w:bCs/>
          <w:kern w:val="0"/>
          <w:sz w:val="24"/>
        </w:rPr>
        <w:t>甲方签字</w:t>
      </w:r>
      <w:r w:rsidRPr="00B5057A">
        <w:rPr>
          <w:rFonts w:ascii="宋体" w:eastAsia="等线" w:hAnsi="宋体" w:cs="宋体" w:hint="eastAsia"/>
          <w:b/>
          <w:bCs/>
          <w:kern w:val="0"/>
          <w:sz w:val="24"/>
        </w:rPr>
        <w:t xml:space="preserve">   ____________</w:t>
      </w:r>
      <w:r w:rsidRPr="00B5057A">
        <w:rPr>
          <w:rFonts w:ascii="宋体" w:eastAsia="等线" w:hAnsi="宋体" w:cs="宋体"/>
          <w:b/>
          <w:bCs/>
          <w:kern w:val="0"/>
          <w:sz w:val="24"/>
        </w:rPr>
        <w:tab/>
      </w:r>
    </w:p>
    <w:p w14:paraId="719E001D" w14:textId="77777777" w:rsidR="005E3442" w:rsidRPr="00B5057A" w:rsidRDefault="005E3442" w:rsidP="005E3442">
      <w:pPr>
        <w:pStyle w:val="a"/>
        <w:tabs>
          <w:tab w:val="left" w:pos="3460"/>
        </w:tabs>
        <w:spacing w:line="312" w:lineRule="auto"/>
        <w:ind w:leftChars="30" w:left="63"/>
        <w:rPr>
          <w:rFonts w:ascii="宋体" w:eastAsia="等线" w:hAnsi="宋体" w:cs="宋体"/>
          <w:b/>
          <w:bCs/>
          <w:kern w:val="0"/>
          <w:sz w:val="24"/>
        </w:rPr>
      </w:pPr>
    </w:p>
    <w:p w14:paraId="55775D28" w14:textId="77777777" w:rsidR="005E3442" w:rsidRPr="00B5057A" w:rsidRDefault="005E3442" w:rsidP="005E3442">
      <w:pPr>
        <w:pStyle w:val="a"/>
        <w:spacing w:line="312" w:lineRule="auto"/>
        <w:rPr>
          <w:rFonts w:ascii="宋体" w:eastAsia="等线" w:hAnsi="宋体" w:cs="宋体"/>
          <w:b/>
          <w:bCs/>
          <w:kern w:val="0"/>
          <w:sz w:val="24"/>
        </w:rPr>
      </w:pPr>
      <w:r w:rsidRPr="00B5057A">
        <w:rPr>
          <w:rFonts w:ascii="宋体" w:eastAsia="等线" w:hAnsi="宋体" w:cs="宋体" w:hint="eastAsia"/>
          <w:b/>
          <w:bCs/>
          <w:kern w:val="0"/>
          <w:sz w:val="24"/>
        </w:rPr>
        <w:t>（</w:t>
      </w:r>
      <w:r w:rsidRPr="00B5057A">
        <w:rPr>
          <w:rFonts w:ascii="宋体" w:eastAsia="等线" w:hAnsi="宋体" w:cs="宋体"/>
          <w:b/>
          <w:bCs/>
          <w:kern w:val="0"/>
          <w:sz w:val="24"/>
        </w:rPr>
        <w:t>机构投资者</w:t>
      </w:r>
      <w:r w:rsidRPr="00B5057A">
        <w:rPr>
          <w:rFonts w:ascii="宋体" w:eastAsia="等线" w:hAnsi="宋体" w:cs="宋体" w:hint="eastAsia"/>
          <w:b/>
          <w:bCs/>
          <w:kern w:val="0"/>
          <w:sz w:val="24"/>
        </w:rPr>
        <w:t>加</w:t>
      </w:r>
      <w:r w:rsidRPr="00B5057A">
        <w:rPr>
          <w:rFonts w:ascii="宋体" w:eastAsia="等线" w:hAnsi="宋体" w:cs="宋体"/>
          <w:b/>
          <w:bCs/>
          <w:kern w:val="0"/>
          <w:sz w:val="24"/>
        </w:rPr>
        <w:t>盖</w:t>
      </w:r>
      <w:r w:rsidRPr="00B5057A">
        <w:rPr>
          <w:rFonts w:ascii="宋体" w:eastAsia="等线" w:hAnsi="宋体" w:cs="宋体" w:hint="eastAsia"/>
          <w:b/>
          <w:bCs/>
          <w:kern w:val="0"/>
          <w:sz w:val="24"/>
        </w:rPr>
        <w:t>公</w:t>
      </w:r>
      <w:r w:rsidRPr="00B5057A">
        <w:rPr>
          <w:rFonts w:ascii="宋体" w:eastAsia="等线" w:hAnsi="宋体" w:cs="宋体"/>
          <w:b/>
          <w:bCs/>
          <w:kern w:val="0"/>
          <w:sz w:val="24"/>
        </w:rPr>
        <w:t>章）</w:t>
      </w:r>
    </w:p>
    <w:p w14:paraId="5F3DB4DA" w14:textId="77777777" w:rsidR="005E3442" w:rsidRPr="00B5057A" w:rsidRDefault="005E3442" w:rsidP="005E3442">
      <w:pPr>
        <w:pStyle w:val="a"/>
        <w:spacing w:line="312" w:lineRule="auto"/>
        <w:rPr>
          <w:rFonts w:ascii="宋体" w:eastAsia="等线" w:hAnsi="宋体" w:cs="宋体"/>
          <w:b/>
          <w:bCs/>
          <w:kern w:val="0"/>
          <w:sz w:val="24"/>
        </w:rPr>
      </w:pPr>
    </w:p>
    <w:p w14:paraId="5D4FE98F" w14:textId="77777777" w:rsidR="005E3442" w:rsidRPr="00B5057A" w:rsidRDefault="005E3442" w:rsidP="005E3442">
      <w:pPr>
        <w:pStyle w:val="a"/>
        <w:spacing w:line="312" w:lineRule="auto"/>
        <w:rPr>
          <w:rFonts w:ascii="宋体" w:eastAsia="等线" w:hAnsi="宋体" w:cs="Times New Roman"/>
          <w:sz w:val="24"/>
        </w:rPr>
      </w:pPr>
      <w:r w:rsidRPr="00B5057A">
        <w:rPr>
          <w:rFonts w:ascii="宋体" w:eastAsia="等线" w:hAnsi="宋体" w:cs="宋体" w:hint="eastAsia"/>
          <w:b/>
          <w:bCs/>
          <w:kern w:val="0"/>
          <w:sz w:val="24"/>
        </w:rPr>
        <w:t>日期</w:t>
      </w:r>
      <w:r w:rsidRPr="00B5057A">
        <w:rPr>
          <w:rFonts w:ascii="宋体" w:eastAsia="等线" w:hAnsi="宋体" w:cs="宋体" w:hint="eastAsia"/>
          <w:b/>
          <w:bCs/>
          <w:kern w:val="0"/>
          <w:sz w:val="24"/>
        </w:rPr>
        <w:t xml:space="preserve">         ____________</w:t>
      </w:r>
    </w:p>
    <w:p w14:paraId="5DBFEF09" w14:textId="01770B5E" w:rsidR="005E3442" w:rsidRDefault="005E3442" w:rsidP="005E3442">
      <w:pPr>
        <w:pStyle w:val="a"/>
        <w:widowControl/>
        <w:jc w:val="left"/>
      </w:pPr>
    </w:p>
    <w:p>
      <w:r>
        <w:br w:type="page"/>
      </w:r>
    </w:p>
    <w:p w14:paraId="399A597D">
      <w:pPr>
        <w:pStyle w:val="a569da44"/>
      </w:pPr>
      <w:r>
        <w:rPr>
          <w:rFonts w:hint="eastAsia"/>
        </w:rPr>
        <w:t>宁银理财宁欣固定收益类封闭式理财1</w:t>
      </w:r>
      <w:r>
        <w:rPr>
          <w:rFonts w:hint="eastAsia"/>
          <w:lang w:val="en-US" w:eastAsia="zh-CN"/>
        </w:rPr>
        <w:t>899</w:t>
      </w:r>
      <w:bookmarkStart w:id="0" w:name="_GoBack"/>
      <w:bookmarkEnd w:id="0"/>
      <w:r>
        <w:rPr>
          <w:rFonts w:hint="eastAsia"/>
        </w:rPr>
        <w:t>号</w:t>
      </w:r>
      <w:r>
        <w:t>产品风险揭示书</w:t>
      </w:r>
    </w:p>
    <w:p w14:paraId="03AA41FF">
      <w:pPr>
        <w:pStyle w:val="23997a72"/>
        <w:spacing w:line="312" w:lineRule="auto"/>
        <w:jc w:val="center"/>
        <w:rPr>
          <w:rFonts w:ascii="黑体" w:hAnsi="宋体" w:cs="Times New Roman"/>
          <w:b/>
          <w:sz w:val="44"/>
          <w:szCs w:val="44"/>
        </w:rPr>
      </w:pPr>
      <w:r>
        <w:rPr>
          <w:rFonts w:hint="eastAsia" w:ascii="宋体" w:hAnsi="宋体" w:eastAsia="宋体" w:cs="Times New Roman"/>
          <w:b/>
          <w:sz w:val="24"/>
          <w:szCs w:val="24"/>
        </w:rPr>
        <w:t>（</w:t>
      </w:r>
      <w:r>
        <w:rPr>
          <w:rFonts w:ascii="宋体" w:hAnsi="宋体" w:eastAsia="宋体" w:cs="Times New Roman"/>
          <w:b/>
          <w:sz w:val="24"/>
          <w:szCs w:val="24"/>
        </w:rPr>
        <w:t>202</w:t>
      </w:r>
      <w:r>
        <w:rPr>
          <w:rFonts w:hint="eastAsia" w:ascii="宋体" w:hAnsi="宋体" w:eastAsia="宋体" w:cs="Times New Roman"/>
          <w:b/>
          <w:sz w:val="24"/>
          <w:szCs w:val="24"/>
        </w:rPr>
        <w:t>401版）</w:t>
      </w:r>
    </w:p>
    <w:p w14:paraId="0A58EEBB">
      <w:pPr>
        <w:pStyle w:val="23997a72"/>
        <w:spacing w:line="312" w:lineRule="auto"/>
        <w:rPr>
          <w:rFonts w:ascii="宋体" w:hAnsi="宋体" w:eastAsia="宋体" w:cs="Times New Roman"/>
          <w:sz w:val="24"/>
          <w:szCs w:val="24"/>
        </w:rPr>
      </w:pPr>
      <w:r>
        <w:rPr>
          <w:rFonts w:hint="eastAsia" w:ascii="宋体" w:hAnsi="宋体" w:eastAsia="宋体" w:cs="Times New Roman"/>
          <w:sz w:val="24"/>
          <w:szCs w:val="24"/>
        </w:rPr>
        <w:t>尊敬的投资者：</w:t>
      </w:r>
    </w:p>
    <w:p w14:paraId="7E16174D">
      <w:pPr>
        <w:pStyle w:val="23997a72"/>
        <w:spacing w:line="312" w:lineRule="auto"/>
        <w:jc w:val="center"/>
        <w:rPr>
          <w:rFonts w:ascii="宋体" w:hAnsi="宋体" w:eastAsia="宋体" w:cs="Times New Roman"/>
          <w:b/>
          <w:sz w:val="24"/>
          <w:szCs w:val="24"/>
          <w:u w:val="single"/>
        </w:rPr>
      </w:pPr>
      <w:r>
        <w:rPr>
          <w:rFonts w:hint="eastAsia" w:ascii="宋体" w:hAnsi="宋体" w:eastAsia="宋体" w:cs="Times New Roman"/>
          <w:b/>
          <w:sz w:val="24"/>
          <w:szCs w:val="24"/>
          <w:u w:val="single"/>
        </w:rPr>
        <w:t>理财非存款、产品有风险、投资须谨慎。</w:t>
      </w:r>
    </w:p>
    <w:p w14:paraId="7414A04F">
      <w:pPr>
        <w:pStyle w:val="23997a72"/>
        <w:spacing w:line="312" w:lineRule="auto"/>
        <w:jc w:val="center"/>
        <w:rPr>
          <w:rFonts w:ascii="宋体" w:hAnsi="宋体" w:eastAsia="宋体" w:cs="Times New Roman"/>
          <w:b/>
          <w:sz w:val="24"/>
          <w:szCs w:val="24"/>
          <w:u w:val="single"/>
        </w:rPr>
      </w:pPr>
      <w:r>
        <w:rPr>
          <w:rFonts w:hint="eastAsia" w:ascii="宋体" w:hAnsi="宋体" w:eastAsia="宋体" w:cs="Times New Roman"/>
          <w:b/>
          <w:sz w:val="24"/>
          <w:szCs w:val="24"/>
          <w:u w:val="single"/>
        </w:rPr>
        <w:t>理财产品过往业绩不代表其未来表现，不等于理财产品实际收益，投资须谨慎。</w:t>
      </w:r>
    </w:p>
    <w:p w14:paraId="50CBD69C">
      <w:pPr>
        <w:pStyle w:val="23997a72"/>
        <w:spacing w:line="312" w:lineRule="auto"/>
        <w:ind w:firstLine="555"/>
        <w:rPr>
          <w:rFonts w:ascii="宋体" w:hAnsi="宋体" w:eastAsia="宋体" w:cs="Times New Roman"/>
          <w:sz w:val="24"/>
          <w:szCs w:val="24"/>
        </w:rPr>
      </w:pPr>
      <w:r>
        <w:rPr>
          <w:rFonts w:hint="eastAsia" w:ascii="宋体" w:hAnsi="宋体" w:eastAsia="宋体" w:cs="Times New Roman"/>
          <w:sz w:val="24"/>
          <w:szCs w:val="24"/>
        </w:rPr>
        <w:t>本产品</w:t>
      </w:r>
      <w:r>
        <w:rPr>
          <w:rFonts w:ascii="宋体" w:hAnsi="宋体" w:eastAsia="宋体" w:cs="Times New Roman"/>
          <w:sz w:val="24"/>
          <w:szCs w:val="24"/>
        </w:rPr>
        <w:t>系宁银理财有限</w:t>
      </w:r>
      <w:r>
        <w:rPr>
          <w:rFonts w:hint="eastAsia" w:ascii="宋体" w:hAnsi="宋体" w:eastAsia="宋体" w:cs="Times New Roman"/>
          <w:sz w:val="24"/>
          <w:szCs w:val="24"/>
        </w:rPr>
        <w:t>责任</w:t>
      </w:r>
      <w:r>
        <w:rPr>
          <w:rFonts w:ascii="宋体" w:hAnsi="宋体" w:eastAsia="宋体" w:cs="Times New Roman"/>
          <w:sz w:val="24"/>
          <w:szCs w:val="24"/>
        </w:rPr>
        <w:t>公司</w:t>
      </w:r>
      <w:r>
        <w:rPr>
          <w:rFonts w:hint="eastAsia" w:ascii="宋体" w:hAnsi="宋体" w:eastAsia="宋体" w:cs="Times New Roman"/>
          <w:sz w:val="24"/>
          <w:szCs w:val="24"/>
        </w:rPr>
        <w:t>（下称“宁银理财”或“本公司”）</w:t>
      </w:r>
      <w:r>
        <w:rPr>
          <w:rFonts w:ascii="宋体" w:hAnsi="宋体" w:eastAsia="宋体" w:cs="Times New Roman"/>
          <w:sz w:val="24"/>
          <w:szCs w:val="24"/>
        </w:rPr>
        <w:t>发行</w:t>
      </w:r>
      <w:r>
        <w:rPr>
          <w:rFonts w:hint="eastAsia" w:ascii="宋体" w:hAnsi="宋体" w:eastAsia="宋体" w:cs="Times New Roman"/>
          <w:sz w:val="24"/>
          <w:szCs w:val="24"/>
        </w:rPr>
        <w:t>运作</w:t>
      </w:r>
      <w:r>
        <w:rPr>
          <w:rFonts w:ascii="宋体" w:hAnsi="宋体" w:eastAsia="宋体" w:cs="Times New Roman"/>
          <w:sz w:val="24"/>
          <w:szCs w:val="24"/>
        </w:rPr>
        <w:t>的</w:t>
      </w:r>
      <w:r>
        <w:rPr>
          <w:rFonts w:ascii="宋体" w:hAnsi="宋体" w:eastAsia="宋体" w:cs="Times New Roman"/>
          <w:b/>
          <w:sz w:val="24"/>
          <w:szCs w:val="24"/>
        </w:rPr>
        <w:t>非保本</w:t>
      </w:r>
      <w:r>
        <w:rPr>
          <w:rFonts w:ascii="宋体" w:hAnsi="宋体" w:eastAsia="宋体" w:cs="Times New Roman"/>
          <w:sz w:val="24"/>
          <w:szCs w:val="24"/>
        </w:rPr>
        <w:t>理财产品，</w:t>
      </w:r>
      <w:r>
        <w:rPr>
          <w:rFonts w:hint="eastAsia" w:ascii="宋体" w:hAnsi="宋体" w:eastAsia="宋体" w:cs="Times New Roman"/>
          <w:sz w:val="24"/>
          <w:szCs w:val="24"/>
        </w:rPr>
        <w:t>在本产品下</w:t>
      </w:r>
      <w:r>
        <w:rPr>
          <w:rFonts w:ascii="宋体" w:hAnsi="宋体" w:eastAsia="宋体" w:cs="Times New Roman"/>
          <w:sz w:val="24"/>
          <w:szCs w:val="24"/>
        </w:rPr>
        <w:t>，</w:t>
      </w:r>
      <w:r>
        <w:rPr>
          <w:rFonts w:hint="eastAsia" w:ascii="宋体" w:hAnsi="宋体" w:eastAsia="宋体" w:cs="Times New Roman"/>
          <w:sz w:val="24"/>
          <w:szCs w:val="24"/>
        </w:rPr>
        <w:t>您</w:t>
      </w:r>
      <w:r>
        <w:rPr>
          <w:rFonts w:ascii="宋体" w:hAnsi="宋体" w:eastAsia="宋体" w:cs="Times New Roman"/>
          <w:sz w:val="24"/>
          <w:szCs w:val="24"/>
        </w:rPr>
        <w:t>委托</w:t>
      </w:r>
      <w:r>
        <w:rPr>
          <w:rFonts w:hint="eastAsia" w:ascii="宋体" w:hAnsi="宋体" w:eastAsia="宋体" w:cs="Times New Roman"/>
          <w:sz w:val="24"/>
          <w:szCs w:val="24"/>
        </w:rPr>
        <w:t>本</w:t>
      </w:r>
      <w:r>
        <w:rPr>
          <w:rFonts w:ascii="宋体" w:hAnsi="宋体" w:eastAsia="宋体" w:cs="Times New Roman"/>
          <w:sz w:val="24"/>
          <w:szCs w:val="24"/>
        </w:rPr>
        <w:t>公司</w:t>
      </w:r>
      <w:r>
        <w:rPr>
          <w:rFonts w:hint="eastAsia" w:ascii="宋体" w:hAnsi="宋体" w:eastAsia="宋体" w:cs="Times New Roman"/>
          <w:sz w:val="24"/>
          <w:szCs w:val="24"/>
        </w:rPr>
        <w:t>对理财产品资金进行投资管理</w:t>
      </w:r>
      <w:r>
        <w:rPr>
          <w:rFonts w:ascii="宋体" w:hAnsi="宋体" w:eastAsia="宋体" w:cs="Times New Roman"/>
          <w:sz w:val="24"/>
          <w:szCs w:val="24"/>
        </w:rPr>
        <w:t>，</w:t>
      </w:r>
      <w:r>
        <w:rPr>
          <w:rFonts w:hint="eastAsia" w:ascii="宋体" w:hAnsi="宋体" w:eastAsia="宋体" w:cs="Times New Roman"/>
          <w:sz w:val="24"/>
          <w:szCs w:val="24"/>
        </w:rPr>
        <w:t>本公司</w:t>
      </w:r>
      <w:r>
        <w:rPr>
          <w:rFonts w:ascii="宋体" w:hAnsi="宋体" w:eastAsia="宋体" w:cs="Times New Roman"/>
          <w:sz w:val="24"/>
          <w:szCs w:val="24"/>
        </w:rPr>
        <w:t>将</w:t>
      </w:r>
      <w:r>
        <w:rPr>
          <w:rFonts w:hint="eastAsia" w:ascii="宋体" w:hAnsi="宋体" w:eastAsia="宋体" w:cs="Times New Roman"/>
          <w:sz w:val="24"/>
          <w:szCs w:val="24"/>
        </w:rPr>
        <w:t>按照约定条件和实际投资收益情况向您支付收益，不保证本金支付和收益水平</w:t>
      </w:r>
      <w:r>
        <w:rPr>
          <w:rFonts w:ascii="宋体" w:hAnsi="宋体" w:eastAsia="宋体" w:cs="Times New Roman"/>
          <w:sz w:val="24"/>
          <w:szCs w:val="24"/>
        </w:rPr>
        <w:t>。</w:t>
      </w:r>
    </w:p>
    <w:p w14:paraId="611D95FA">
      <w:pPr>
        <w:pStyle w:val="23997a72"/>
        <w:spacing w:line="312" w:lineRule="auto"/>
        <w:ind w:firstLine="555"/>
        <w:rPr>
          <w:rFonts w:ascii="宋体" w:hAnsi="宋体" w:eastAsia="宋体" w:cs="Times New Roman"/>
          <w:sz w:val="24"/>
          <w:szCs w:val="24"/>
        </w:rPr>
      </w:pPr>
      <w:r>
        <w:rPr>
          <w:rFonts w:hint="eastAsia" w:ascii="宋体" w:hAnsi="宋体" w:eastAsia="宋体" w:cs="Times New Roman"/>
          <w:b/>
          <w:sz w:val="24"/>
          <w:szCs w:val="24"/>
        </w:rPr>
        <w:t>请仔细阅读理财产品销售文件（包括但不限于《理财产品说明书》、《风险揭示书》、《销售（代理销售）协议书》（通过代理销售机构销售的，文件具体名称以代理销售机构为准，下同）、《投资协议书》、《投资者权益须知》），确保</w:t>
      </w:r>
      <w:r>
        <w:rPr>
          <w:rFonts w:ascii="宋体" w:hAnsi="宋体" w:eastAsia="宋体" w:cs="Times New Roman"/>
          <w:b/>
          <w:sz w:val="24"/>
          <w:szCs w:val="24"/>
        </w:rPr>
        <w:t>您已</w:t>
      </w:r>
      <w:r>
        <w:rPr>
          <w:rFonts w:hint="eastAsia" w:ascii="宋体" w:hAnsi="宋体" w:eastAsia="宋体" w:cs="Times New Roman"/>
          <w:b/>
          <w:sz w:val="24"/>
          <w:szCs w:val="24"/>
        </w:rPr>
        <w:t>了解自己的风险承受能力、</w:t>
      </w:r>
      <w:r>
        <w:rPr>
          <w:rFonts w:ascii="宋体" w:hAnsi="宋体" w:eastAsia="宋体" w:cs="Times New Roman"/>
          <w:b/>
          <w:sz w:val="24"/>
          <w:szCs w:val="24"/>
        </w:rPr>
        <w:t>理财</w:t>
      </w:r>
      <w:r>
        <w:rPr>
          <w:rFonts w:hint="eastAsia" w:ascii="宋体" w:hAnsi="宋体" w:eastAsia="宋体" w:cs="Times New Roman"/>
          <w:b/>
          <w:sz w:val="24"/>
          <w:szCs w:val="24"/>
        </w:rPr>
        <w:t>产品具体信息及风险后，谨慎投资。如影响您风险承受能力的因素发生变化，请及时更新风险承受能力评估。</w:t>
      </w:r>
    </w:p>
    <w:p w14:paraId="5AE5D88D">
      <w:pPr>
        <w:pStyle w:val="23997a72"/>
        <w:spacing w:line="312" w:lineRule="auto"/>
        <w:ind w:left="63" w:leftChars="30" w:firstLine="480" w:firstLineChars="200"/>
        <w:rPr>
          <w:rFonts w:ascii="宋体" w:hAnsi="宋体" w:eastAsia="宋体" w:cs="Courier New"/>
          <w:b/>
          <w:bCs/>
          <w:sz w:val="24"/>
          <w:szCs w:val="24"/>
        </w:rPr>
      </w:pPr>
      <w:r>
        <w:rPr>
          <w:rFonts w:hint="eastAsia" w:ascii="宋体" w:hAnsi="宋体" w:eastAsia="宋体" w:cs="Times New Roman"/>
          <w:sz w:val="24"/>
          <w:szCs w:val="24"/>
        </w:rPr>
        <w:t>购买本</w:t>
      </w:r>
      <w:r>
        <w:rPr>
          <w:rFonts w:ascii="宋体" w:hAnsi="宋体" w:eastAsia="宋体" w:cs="Times New Roman"/>
          <w:sz w:val="24"/>
          <w:szCs w:val="24"/>
        </w:rPr>
        <w:t>理财产品</w:t>
      </w:r>
      <w:r>
        <w:rPr>
          <w:rFonts w:hint="eastAsia" w:ascii="宋体" w:hAnsi="宋体" w:eastAsia="宋体" w:cs="Times New Roman"/>
          <w:sz w:val="24"/>
          <w:szCs w:val="24"/>
        </w:rPr>
        <w:t>，您将可能面临包括但不限于以下风险：</w:t>
      </w:r>
    </w:p>
    <w:p w14:paraId="71F5A0FC">
      <w:pPr>
        <w:pStyle w:val="23997a72"/>
        <w:spacing w:line="276" w:lineRule="auto"/>
        <w:ind w:left="63" w:leftChars="30" w:firstLine="482" w:firstLineChars="200"/>
        <w:rPr>
          <w:rFonts w:ascii="宋体" w:hAnsi="宋体" w:eastAsia="宋体" w:cs="Times New Roman"/>
          <w:sz w:val="24"/>
          <w:szCs w:val="24"/>
        </w:rPr>
      </w:pPr>
      <w:r>
        <w:rPr>
          <w:rFonts w:ascii="宋体" w:hAnsi="宋体" w:eastAsia="宋体" w:cs="Times New Roman"/>
          <w:b/>
          <w:sz w:val="24"/>
          <w:szCs w:val="24"/>
        </w:rPr>
        <w:t>1</w:t>
      </w:r>
      <w:r>
        <w:rPr>
          <w:rFonts w:hint="eastAsia" w:ascii="宋体" w:hAnsi="宋体" w:eastAsia="宋体" w:cs="Times New Roman"/>
          <w:b/>
          <w:sz w:val="24"/>
          <w:szCs w:val="24"/>
        </w:rPr>
        <w:t>、市场风险：</w:t>
      </w:r>
      <w:r>
        <w:rPr>
          <w:rFonts w:hint="eastAsia" w:ascii="宋体" w:hAnsi="宋体" w:eastAsia="宋体" w:cs="Times New Roman"/>
          <w:sz w:val="24"/>
          <w:szCs w:val="24"/>
        </w:rPr>
        <w:t>理财产品在运作过程中，由于市场变化造成产品所投资产价格波动、从而影响理财产品收益的风险。市场风险包括但不限于投资债券面临的利率变化及债券价格波动带来的风险，投资股票面临的股票价格波动带来的风险，投资商品及金融衍生品面临的商品及衍生品价格波动带来的风险等。</w:t>
      </w:r>
    </w:p>
    <w:p w14:paraId="148878DC">
      <w:pPr>
        <w:pStyle w:val="23997a72"/>
        <w:spacing w:line="312" w:lineRule="auto"/>
        <w:ind w:left="63" w:leftChars="30" w:firstLine="482" w:firstLineChars="200"/>
        <w:rPr>
          <w:rFonts w:ascii="宋体" w:hAnsi="宋体" w:eastAsia="宋体" w:cs="Times New Roman"/>
          <w:sz w:val="24"/>
          <w:szCs w:val="24"/>
        </w:rPr>
      </w:pPr>
      <w:r>
        <w:rPr>
          <w:rFonts w:ascii="宋体" w:hAnsi="宋体" w:eastAsia="宋体" w:cs="Times New Roman"/>
          <w:b/>
          <w:sz w:val="24"/>
          <w:szCs w:val="24"/>
        </w:rPr>
        <w:t>2</w:t>
      </w:r>
      <w:r>
        <w:rPr>
          <w:rFonts w:hint="eastAsia" w:ascii="宋体" w:hAnsi="宋体" w:eastAsia="宋体" w:cs="Times New Roman"/>
          <w:b/>
          <w:sz w:val="24"/>
          <w:szCs w:val="24"/>
        </w:rPr>
        <w:t>、信用风险：</w:t>
      </w:r>
      <w:r>
        <w:rPr>
          <w:rFonts w:hint="eastAsia" w:ascii="宋体" w:hAnsi="宋体" w:eastAsia="宋体" w:cs="Times New Roman"/>
          <w:sz w:val="24"/>
          <w:szCs w:val="24"/>
        </w:rPr>
        <w:t>理财产品所投资产的相关债务人或关联责任人（包括但不限于担保人）等信用状况恶化、不能如期履约的风险。</w:t>
      </w:r>
    </w:p>
    <w:p w14:paraId="102CB3AA">
      <w:pPr>
        <w:pStyle w:val="23997a72"/>
        <w:spacing w:line="312" w:lineRule="auto"/>
        <w:ind w:left="63" w:leftChars="30" w:firstLine="482" w:firstLineChars="200"/>
        <w:rPr>
          <w:rFonts w:ascii="宋体" w:hAnsi="宋体" w:eastAsia="宋体" w:cs="Times New Roman"/>
          <w:b/>
          <w:sz w:val="24"/>
          <w:szCs w:val="24"/>
        </w:rPr>
      </w:pPr>
      <w:r>
        <w:rPr>
          <w:rFonts w:ascii="宋体" w:hAnsi="宋体" w:eastAsia="宋体" w:cs="Courier New"/>
          <w:b/>
          <w:bCs/>
          <w:sz w:val="24"/>
          <w:szCs w:val="24"/>
        </w:rPr>
        <w:t>3</w:t>
      </w:r>
      <w:r>
        <w:rPr>
          <w:rFonts w:hint="eastAsia" w:ascii="宋体" w:hAnsi="宋体" w:eastAsia="宋体" w:cs="Courier New"/>
          <w:b/>
          <w:bCs/>
          <w:sz w:val="24"/>
          <w:szCs w:val="24"/>
        </w:rPr>
        <w:t>、</w:t>
      </w:r>
      <w:r>
        <w:rPr>
          <w:rFonts w:hint="eastAsia" w:ascii="宋体" w:hAnsi="宋体" w:eastAsia="宋体" w:cs="Times New Roman"/>
          <w:b/>
          <w:sz w:val="24"/>
          <w:szCs w:val="24"/>
        </w:rPr>
        <w:t>理财产品不成立风险：</w:t>
      </w:r>
      <w:r>
        <w:rPr>
          <w:rFonts w:hint="eastAsia" w:ascii="宋体" w:hAnsi="宋体" w:eastAsia="宋体" w:cs="Times New Roman"/>
          <w:sz w:val="24"/>
          <w:szCs w:val="24"/>
        </w:rPr>
        <w:t>如理财产品募集期届满，发生本理财产品难以成立的情况，宁银理财有权宣布本理财产品不成立。</w:t>
      </w:r>
    </w:p>
    <w:p w14:paraId="0466B94A">
      <w:pPr>
        <w:pStyle w:val="23997a72"/>
        <w:spacing w:line="312" w:lineRule="auto"/>
        <w:ind w:left="63" w:leftChars="30" w:firstLine="482" w:firstLineChars="200"/>
        <w:rPr>
          <w:rFonts w:ascii="宋体" w:hAnsi="宋体" w:eastAsia="宋体" w:cs="Courier New"/>
          <w:bCs/>
          <w:sz w:val="24"/>
          <w:szCs w:val="24"/>
        </w:rPr>
      </w:pPr>
      <w:r>
        <w:rPr>
          <w:rFonts w:ascii="宋体" w:hAnsi="宋体" w:eastAsia="宋体" w:cs="Courier New"/>
          <w:b/>
          <w:bCs/>
          <w:sz w:val="24"/>
          <w:szCs w:val="24"/>
        </w:rPr>
        <w:t>4</w:t>
      </w:r>
      <w:r>
        <w:rPr>
          <w:rFonts w:hint="eastAsia" w:ascii="宋体" w:hAnsi="宋体" w:eastAsia="宋体" w:cs="Courier New"/>
          <w:b/>
          <w:bCs/>
          <w:sz w:val="24"/>
          <w:szCs w:val="24"/>
        </w:rPr>
        <w:t>、流动性风险：</w:t>
      </w:r>
      <w:r>
        <w:rPr>
          <w:rFonts w:hint="eastAsia" w:ascii="宋体" w:hAnsi="宋体" w:eastAsia="宋体" w:cs="Courier New"/>
          <w:sz w:val="24"/>
          <w:szCs w:val="24"/>
        </w:rPr>
        <w:t>在特定市场环境下，理财产品所投资的上述部分市场或资产可能出现流动性较差的情况，导致理财产品存在无法通过变现资产等途径以合理成本及时获得充足资金，用于满足投资者赎回需求、履行其他支付义务的风险。</w:t>
      </w:r>
      <w:r>
        <w:rPr>
          <w:rFonts w:hint="eastAsia" w:ascii="宋体" w:hAnsi="宋体" w:eastAsia="宋体" w:cs="Courier New"/>
          <w:bCs/>
          <w:sz w:val="24"/>
          <w:szCs w:val="24"/>
        </w:rPr>
        <w:t>对于有</w:t>
      </w:r>
      <w:r>
        <w:rPr>
          <w:rFonts w:ascii="宋体" w:hAnsi="宋体" w:eastAsia="宋体" w:cs="Courier New"/>
          <w:bCs/>
          <w:sz w:val="24"/>
          <w:szCs w:val="24"/>
        </w:rPr>
        <w:t>明确投资期限的理财产品，</w:t>
      </w:r>
      <w:r>
        <w:rPr>
          <w:rFonts w:hint="eastAsia" w:ascii="宋体" w:hAnsi="宋体" w:eastAsia="宋体" w:cs="Courier New"/>
          <w:bCs/>
          <w:sz w:val="24"/>
          <w:szCs w:val="24"/>
        </w:rPr>
        <w:t>在存续期内如果您产生流动性需求，可能面临理财产品投资期限与资金需求日不匹配的流动性风险。此外</w:t>
      </w:r>
      <w:r>
        <w:rPr>
          <w:rFonts w:ascii="宋体" w:hAnsi="宋体" w:eastAsia="宋体" w:cs="Courier New"/>
          <w:bCs/>
          <w:sz w:val="24"/>
          <w:szCs w:val="24"/>
        </w:rPr>
        <w:t>，</w:t>
      </w:r>
      <w:r>
        <w:rPr>
          <w:rFonts w:hint="eastAsia" w:ascii="宋体" w:hAnsi="宋体" w:eastAsia="宋体" w:cs="Courier New"/>
          <w:bCs/>
          <w:sz w:val="24"/>
          <w:szCs w:val="24"/>
        </w:rPr>
        <w:t>针对</w:t>
      </w:r>
      <w:r>
        <w:rPr>
          <w:rFonts w:ascii="宋体" w:hAnsi="宋体" w:eastAsia="宋体" w:cs="Courier New"/>
          <w:bCs/>
          <w:sz w:val="24"/>
          <w:szCs w:val="24"/>
        </w:rPr>
        <w:t>开放式产品，</w:t>
      </w:r>
      <w:r>
        <w:rPr>
          <w:rFonts w:hint="eastAsia" w:ascii="宋体" w:hAnsi="宋体" w:eastAsia="宋体" w:cs="Courier New"/>
          <w:bCs/>
          <w:sz w:val="24"/>
          <w:szCs w:val="24"/>
        </w:rPr>
        <w:t>投资者只能在开放期的交易时间内进行申购、赎回，开放期内若发生巨额赎回，投资者将面临不能及时赎回理财产品的流动性风险。</w:t>
      </w:r>
    </w:p>
    <w:p w14:paraId="56477C65">
      <w:pPr>
        <w:pStyle w:val="23997a72"/>
        <w:spacing w:line="312" w:lineRule="auto"/>
        <w:ind w:left="63" w:leftChars="30" w:firstLine="480" w:firstLineChars="200"/>
        <w:rPr>
          <w:rFonts w:ascii="宋体" w:hAnsi="宋体" w:eastAsia="宋体" w:cs="Courier New"/>
          <w:sz w:val="24"/>
          <w:szCs w:val="24"/>
        </w:rPr>
      </w:pPr>
      <w:r>
        <w:rPr>
          <w:rFonts w:hint="eastAsia" w:ascii="宋体" w:hAnsi="宋体" w:eastAsia="宋体" w:cs="Courier New"/>
          <w:sz w:val="24"/>
          <w:szCs w:val="24"/>
        </w:rPr>
        <w:t>宁银理财可以依照法律法规及产品说明书的约定，综合运用各项理财产品流动性风险应对措施：</w:t>
      </w:r>
    </w:p>
    <w:p w14:paraId="1FE02BEC">
      <w:pPr>
        <w:pStyle w:val="23997a72"/>
        <w:spacing w:line="312" w:lineRule="auto"/>
        <w:ind w:left="63" w:leftChars="30" w:firstLine="480" w:firstLineChars="200"/>
        <w:rPr>
          <w:rFonts w:ascii="宋体" w:hAnsi="宋体" w:eastAsia="宋体" w:cs="Courier New"/>
          <w:sz w:val="24"/>
          <w:szCs w:val="24"/>
        </w:rPr>
      </w:pPr>
      <w:r>
        <w:rPr>
          <w:rFonts w:hint="eastAsia" w:ascii="宋体" w:hAnsi="宋体" w:eastAsia="宋体" w:cs="Courier New"/>
          <w:sz w:val="24"/>
          <w:szCs w:val="24"/>
        </w:rPr>
        <w:t>（一）认购风险应对措施，包括：设定单一投资者认购金额上限、设定理财产品单日净认购比例上限、拒绝大额认购、暂停认购，以及国家金融监督管理总局规定的其他措施；</w:t>
      </w:r>
    </w:p>
    <w:p w14:paraId="17F9A830">
      <w:pPr>
        <w:pStyle w:val="23997a72"/>
        <w:spacing w:line="312" w:lineRule="auto"/>
        <w:ind w:left="63" w:leftChars="30" w:firstLine="480" w:firstLineChars="200"/>
        <w:rPr>
          <w:rFonts w:ascii="宋体" w:hAnsi="宋体" w:eastAsia="宋体" w:cs="Courier New"/>
          <w:sz w:val="24"/>
          <w:szCs w:val="24"/>
        </w:rPr>
      </w:pPr>
      <w:r>
        <w:rPr>
          <w:rFonts w:hint="eastAsia" w:ascii="宋体" w:hAnsi="宋体" w:eastAsia="宋体" w:cs="Courier New"/>
          <w:sz w:val="24"/>
          <w:szCs w:val="24"/>
        </w:rPr>
        <w:t>（二）赎回风险应对措施，包括：设置赎回上限、延期办理巨额赎回申请、暂停接受赎回申请、延缓支付赎回款项、收取短期赎回费、暂停理财产品估值、摆动定价，以及国家金融监督管理总局规定的其他措施。</w:t>
      </w:r>
    </w:p>
    <w:p w14:paraId="471AD017">
      <w:pPr>
        <w:pStyle w:val="23997a72"/>
        <w:spacing w:line="312" w:lineRule="auto"/>
        <w:ind w:left="63" w:leftChars="30" w:firstLine="480" w:firstLineChars="200"/>
        <w:rPr>
          <w:rFonts w:ascii="宋体" w:hAnsi="宋体" w:eastAsia="宋体" w:cs="Courier New"/>
          <w:sz w:val="24"/>
          <w:szCs w:val="24"/>
        </w:rPr>
      </w:pPr>
      <w:r>
        <w:rPr>
          <w:rFonts w:hint="eastAsia" w:ascii="宋体" w:hAnsi="宋体" w:eastAsia="宋体" w:cs="Courier New"/>
          <w:sz w:val="24"/>
          <w:szCs w:val="24"/>
        </w:rPr>
        <w:t>上述理财产品流动性风险应对措施可能导致无法满足投资者对产品的部分或全部认（申）购或赎回需求，进而影响投资者的资金流动性安排。当产品管理人根据产品说明书中与投资者事先约定的相关措施的处理方法和程序接受投资者的认（申）购申请时，可能会造成理财产品投资收益摊薄、后续发生巨额赎回可能性增加等潜在影响。</w:t>
      </w:r>
    </w:p>
    <w:p w14:paraId="29D6F7AB">
      <w:pPr>
        <w:pStyle w:val="23997a72"/>
        <w:spacing w:line="312" w:lineRule="auto"/>
        <w:ind w:left="63" w:leftChars="30" w:firstLine="482" w:firstLineChars="200"/>
        <w:rPr>
          <w:rFonts w:ascii="宋体" w:hAnsi="宋体" w:eastAsia="宋体" w:cs="Times New Roman"/>
          <w:b/>
          <w:sz w:val="24"/>
          <w:szCs w:val="24"/>
        </w:rPr>
      </w:pPr>
      <w:r>
        <w:rPr>
          <w:rFonts w:hint="eastAsia" w:ascii="宋体" w:hAnsi="宋体" w:eastAsia="宋体" w:cs="Times New Roman"/>
          <w:b/>
          <w:sz w:val="24"/>
          <w:szCs w:val="24"/>
        </w:rPr>
        <w:t>5、不达业绩比较基准的风险：</w:t>
      </w:r>
      <w:r>
        <w:rPr>
          <w:rFonts w:hint="eastAsia" w:ascii="宋体" w:hAnsi="宋体" w:eastAsia="宋体" w:cs="Times New Roman"/>
          <w:sz w:val="24"/>
          <w:szCs w:val="24"/>
        </w:rPr>
        <w:t>产品的业绩比较基准为综合考虑产品的投资组合及同类产品过往业绩等因素测算而得，不代表产品业绩的未来表现，不作为宁银理财向您支付产品本金或收益的承诺。</w:t>
      </w:r>
      <w:r>
        <w:rPr>
          <w:rFonts w:hint="eastAsia" w:ascii="宋体" w:hAnsi="宋体" w:eastAsia="宋体" w:cs="Times New Roman"/>
          <w:b/>
          <w:sz w:val="24"/>
          <w:szCs w:val="24"/>
        </w:rPr>
        <w:t>本产品为净值型产品，业绩表现将随市场情况波动，具有不确定性，产品业绩表现存在不达业绩基准的风险。</w:t>
      </w:r>
    </w:p>
    <w:p w14:paraId="40C38DF1">
      <w:pPr>
        <w:pStyle w:val="23997a72"/>
        <w:spacing w:line="312" w:lineRule="auto"/>
        <w:ind w:left="63" w:leftChars="30" w:firstLine="482" w:firstLineChars="200"/>
        <w:rPr>
          <w:rFonts w:ascii="宋体" w:hAnsi="宋体" w:eastAsia="宋体" w:cs="Times New Roman"/>
          <w:b/>
          <w:sz w:val="24"/>
          <w:szCs w:val="24"/>
        </w:rPr>
      </w:pPr>
      <w:r>
        <w:rPr>
          <w:rFonts w:ascii="宋体" w:hAnsi="宋体" w:eastAsia="宋体" w:cs="Times New Roman"/>
          <w:b/>
          <w:sz w:val="24"/>
          <w:szCs w:val="24"/>
        </w:rPr>
        <w:t>6</w:t>
      </w:r>
      <w:r>
        <w:rPr>
          <w:rFonts w:hint="eastAsia" w:ascii="宋体" w:hAnsi="宋体" w:eastAsia="宋体" w:cs="Times New Roman"/>
          <w:b/>
          <w:sz w:val="24"/>
          <w:szCs w:val="24"/>
        </w:rPr>
        <w:t>、提前终止风险：</w:t>
      </w:r>
      <w:r>
        <w:rPr>
          <w:rFonts w:hint="eastAsia" w:ascii="宋体" w:hAnsi="宋体" w:eastAsia="宋体" w:cs="Times New Roman"/>
          <w:sz w:val="24"/>
          <w:szCs w:val="24"/>
        </w:rPr>
        <w:t>在理财产品存续期内，宁银理财有权在特定情况下提前终止理财产品，一旦产品被提前终止，您可能面临不能继续持有产品的风险。</w:t>
      </w:r>
    </w:p>
    <w:p w14:paraId="584B2D83">
      <w:pPr>
        <w:pStyle w:val="23997a72"/>
        <w:spacing w:line="312" w:lineRule="auto"/>
        <w:ind w:left="63" w:leftChars="30" w:firstLine="482" w:firstLineChars="200"/>
        <w:rPr>
          <w:rFonts w:ascii="宋体" w:hAnsi="宋体" w:eastAsia="宋体" w:cs="Times New Roman"/>
          <w:sz w:val="24"/>
          <w:szCs w:val="24"/>
        </w:rPr>
      </w:pPr>
      <w:r>
        <w:rPr>
          <w:rFonts w:ascii="宋体" w:hAnsi="宋体" w:eastAsia="宋体" w:cs="Times New Roman"/>
          <w:b/>
          <w:sz w:val="24"/>
          <w:szCs w:val="24"/>
        </w:rPr>
        <w:t>7</w:t>
      </w:r>
      <w:r>
        <w:rPr>
          <w:rFonts w:hint="eastAsia" w:ascii="宋体" w:hAnsi="宋体" w:eastAsia="宋体" w:cs="Times New Roman"/>
          <w:b/>
          <w:sz w:val="24"/>
          <w:szCs w:val="24"/>
        </w:rPr>
        <w:t>、延期风险：</w:t>
      </w:r>
      <w:r>
        <w:rPr>
          <w:rFonts w:hint="eastAsia" w:ascii="宋体" w:hAnsi="宋体" w:eastAsia="宋体" w:cs="Times New Roman"/>
          <w:sz w:val="24"/>
          <w:szCs w:val="24"/>
        </w:rPr>
        <w:t>理财产品到期或您决定赎回本产品时，若出现所投资产无法顺利变现、市场发生重大变动或其他宁银理财认为需要延期支付的情形时，本产品将面临无法按时支付相关款项的风险。</w:t>
      </w:r>
    </w:p>
    <w:p w14:paraId="41103CA2">
      <w:pPr>
        <w:pStyle w:val="23997a72"/>
        <w:spacing w:line="312" w:lineRule="auto"/>
        <w:ind w:left="63" w:leftChars="30" w:firstLine="482" w:firstLineChars="200"/>
        <w:rPr>
          <w:rFonts w:ascii="宋体" w:hAnsi="宋体" w:eastAsia="宋体" w:cs="Times New Roman"/>
          <w:b/>
          <w:sz w:val="24"/>
          <w:szCs w:val="24"/>
        </w:rPr>
      </w:pPr>
      <w:r>
        <w:rPr>
          <w:rFonts w:ascii="宋体" w:hAnsi="宋体" w:eastAsia="宋体" w:cs="Times New Roman"/>
          <w:b/>
          <w:sz w:val="24"/>
          <w:szCs w:val="24"/>
        </w:rPr>
        <w:t>8</w:t>
      </w:r>
      <w:r>
        <w:rPr>
          <w:rFonts w:hint="eastAsia" w:ascii="宋体" w:hAnsi="宋体" w:eastAsia="宋体" w:cs="Times New Roman"/>
          <w:b/>
          <w:sz w:val="24"/>
          <w:szCs w:val="24"/>
        </w:rPr>
        <w:t>、政策风险：</w:t>
      </w:r>
      <w:r>
        <w:rPr>
          <w:rFonts w:hint="eastAsia" w:ascii="宋体" w:hAnsi="宋体" w:eastAsia="宋体" w:cs="Times New Roman"/>
          <w:sz w:val="24"/>
          <w:szCs w:val="24"/>
        </w:rPr>
        <w:t>理财产品在运作过程中，由于国家宏观政策以及市场相关法律法规、监管规定发生变化，导致产品的发行、投资、兑付等流程受到影响，进而影响产品的投资运作和收益的风险。</w:t>
      </w:r>
    </w:p>
    <w:p w14:paraId="17FDA942">
      <w:pPr>
        <w:pStyle w:val="23997a72"/>
        <w:spacing w:line="312" w:lineRule="auto"/>
        <w:ind w:left="63" w:leftChars="30" w:firstLine="482" w:firstLineChars="200"/>
        <w:rPr>
          <w:rFonts w:ascii="宋体" w:hAnsi="宋体" w:eastAsia="宋体" w:cs="Times New Roman"/>
          <w:sz w:val="24"/>
          <w:szCs w:val="24"/>
        </w:rPr>
      </w:pPr>
      <w:r>
        <w:rPr>
          <w:rFonts w:ascii="宋体" w:hAnsi="宋体" w:eastAsia="宋体" w:cs="Times New Roman"/>
          <w:b/>
          <w:sz w:val="24"/>
          <w:szCs w:val="24"/>
        </w:rPr>
        <w:t>9</w:t>
      </w:r>
      <w:r>
        <w:rPr>
          <w:rFonts w:hint="eastAsia" w:ascii="宋体" w:hAnsi="宋体" w:eastAsia="宋体" w:cs="Times New Roman"/>
          <w:b/>
          <w:sz w:val="24"/>
          <w:szCs w:val="24"/>
        </w:rPr>
        <w:t>、信息传递风险：</w:t>
      </w:r>
      <w:r>
        <w:rPr>
          <w:rFonts w:hint="eastAsia" w:ascii="宋体" w:hAnsi="宋体" w:eastAsia="宋体" w:cs="Times New Roman"/>
          <w:sz w:val="24"/>
          <w:szCs w:val="24"/>
        </w:rPr>
        <w:t>宁银理财将于理财产品募集期间、存续期间和终止时，通过本公司官网（</w:t>
      </w:r>
      <w:r>
        <w:rPr>
          <w:rFonts w:ascii="宋体" w:hAnsi="宋体" w:eastAsia="宋体" w:cs="Times New Roman"/>
          <w:sz w:val="24"/>
          <w:szCs w:val="24"/>
        </w:rPr>
        <w:t>www.wmbnb.com</w:t>
      </w:r>
      <w:r>
        <w:rPr>
          <w:rFonts w:hint="eastAsia" w:ascii="宋体" w:hAnsi="宋体" w:eastAsia="宋体" w:cs="Times New Roman"/>
          <w:sz w:val="24"/>
          <w:szCs w:val="24"/>
        </w:rPr>
        <w:t>）、相关理财代理销售机构官方渠道或其他适当的方式进行信息披露（具体产品的信息披露方式、频率等规则见《理财产品说明书》）。宁银理财或</w:t>
      </w:r>
      <w:r>
        <w:rPr>
          <w:rFonts w:ascii="宋体" w:hAnsi="宋体" w:eastAsia="宋体" w:cs="Times New Roman"/>
          <w:sz w:val="24"/>
          <w:szCs w:val="24"/>
        </w:rPr>
        <w:t>代理销售机构通过</w:t>
      </w:r>
      <w:r>
        <w:rPr>
          <w:rFonts w:hint="eastAsia" w:ascii="宋体" w:hAnsi="宋体" w:eastAsia="宋体" w:cs="Times New Roman"/>
          <w:sz w:val="24"/>
          <w:szCs w:val="24"/>
        </w:rPr>
        <w:t>理财产品销售</w:t>
      </w:r>
      <w:r>
        <w:rPr>
          <w:rFonts w:ascii="宋体" w:hAnsi="宋体" w:eastAsia="宋体" w:cs="Times New Roman"/>
          <w:sz w:val="24"/>
          <w:szCs w:val="24"/>
        </w:rPr>
        <w:t>文件约定方式披露信息后，</w:t>
      </w:r>
      <w:r>
        <w:rPr>
          <w:rFonts w:hint="eastAsia" w:ascii="宋体" w:hAnsi="宋体" w:eastAsia="宋体" w:cs="Times New Roman"/>
          <w:sz w:val="24"/>
          <w:szCs w:val="24"/>
        </w:rPr>
        <w:t>视为本公司已</w:t>
      </w:r>
      <w:r>
        <w:rPr>
          <w:rFonts w:ascii="宋体" w:hAnsi="宋体" w:eastAsia="宋体" w:cs="Times New Roman"/>
          <w:sz w:val="24"/>
          <w:szCs w:val="24"/>
        </w:rPr>
        <w:t>向</w:t>
      </w:r>
      <w:r>
        <w:rPr>
          <w:rFonts w:hint="eastAsia" w:ascii="宋体" w:hAnsi="宋体" w:eastAsia="宋体" w:cs="Times New Roman"/>
          <w:sz w:val="24"/>
          <w:szCs w:val="24"/>
        </w:rPr>
        <w:t>您</w:t>
      </w:r>
      <w:r>
        <w:rPr>
          <w:rFonts w:ascii="宋体" w:hAnsi="宋体" w:eastAsia="宋体" w:cs="Times New Roman"/>
          <w:sz w:val="24"/>
          <w:szCs w:val="24"/>
        </w:rPr>
        <w:t>完全履行信息披露义务</w:t>
      </w:r>
      <w:r>
        <w:rPr>
          <w:rFonts w:hint="eastAsia" w:ascii="宋体" w:hAnsi="宋体" w:eastAsia="宋体" w:cs="Times New Roman"/>
          <w:sz w:val="24"/>
          <w:szCs w:val="24"/>
        </w:rPr>
        <w:t>，您可依据理财产品销售文件的约定，及时登录本</w:t>
      </w:r>
      <w:r>
        <w:rPr>
          <w:rFonts w:ascii="宋体" w:hAnsi="宋体" w:eastAsia="宋体" w:cs="Times New Roman"/>
          <w:sz w:val="24"/>
          <w:szCs w:val="24"/>
        </w:rPr>
        <w:t>公司/代理销售机构</w:t>
      </w:r>
      <w:r>
        <w:rPr>
          <w:rFonts w:hint="eastAsia" w:ascii="宋体" w:hAnsi="宋体" w:eastAsia="宋体" w:cs="Times New Roman"/>
          <w:sz w:val="24"/>
          <w:szCs w:val="24"/>
        </w:rPr>
        <w:t>网站或</w:t>
      </w:r>
      <w:r>
        <w:rPr>
          <w:rFonts w:ascii="宋体" w:hAnsi="宋体" w:eastAsia="宋体" w:cs="Times New Roman"/>
          <w:sz w:val="24"/>
          <w:szCs w:val="24"/>
        </w:rPr>
        <w:t>致电</w:t>
      </w:r>
      <w:r>
        <w:rPr>
          <w:rFonts w:hint="eastAsia" w:ascii="宋体" w:hAnsi="宋体" w:eastAsia="宋体" w:cs="Times New Roman"/>
          <w:sz w:val="24"/>
          <w:szCs w:val="24"/>
        </w:rPr>
        <w:t>本</w:t>
      </w:r>
      <w:r>
        <w:rPr>
          <w:rFonts w:ascii="宋体" w:hAnsi="宋体" w:eastAsia="宋体" w:cs="Times New Roman"/>
          <w:sz w:val="24"/>
          <w:szCs w:val="24"/>
        </w:rPr>
        <w:t>公司/代理销售机构</w:t>
      </w:r>
      <w:r>
        <w:rPr>
          <w:rFonts w:hint="eastAsia" w:ascii="宋体" w:hAnsi="宋体" w:eastAsia="宋体" w:cs="Times New Roman"/>
          <w:sz w:val="24"/>
          <w:szCs w:val="24"/>
        </w:rPr>
        <w:t>客户服务</w:t>
      </w:r>
      <w:r>
        <w:rPr>
          <w:rFonts w:ascii="宋体" w:hAnsi="宋体" w:eastAsia="宋体" w:cs="Times New Roman"/>
          <w:sz w:val="24"/>
          <w:szCs w:val="24"/>
        </w:rPr>
        <w:t>热线（</w:t>
      </w:r>
      <w:r>
        <w:rPr>
          <w:rFonts w:hint="eastAsia" w:ascii="宋体" w:hAnsi="宋体" w:eastAsia="宋体" w:cs="Times New Roman"/>
          <w:sz w:val="24"/>
          <w:szCs w:val="24"/>
        </w:rPr>
        <w:t>宁银理财：</w:t>
      </w:r>
      <w:r>
        <w:rPr>
          <w:rFonts w:ascii="宋体" w:hAnsi="宋体" w:eastAsia="宋体" w:cs="Times New Roman"/>
          <w:sz w:val="24"/>
          <w:szCs w:val="24"/>
        </w:rPr>
        <w:t>400-099-5574</w:t>
      </w:r>
      <w:r>
        <w:rPr>
          <w:rFonts w:hint="eastAsia" w:ascii="宋体" w:hAnsi="宋体" w:eastAsia="宋体" w:cs="Times New Roman"/>
          <w:sz w:val="24"/>
          <w:szCs w:val="24"/>
        </w:rPr>
        <w:t>；代理销售机构联系方式详见《理财产品说明书》</w:t>
      </w:r>
      <w:r>
        <w:rPr>
          <w:rFonts w:ascii="宋体" w:hAnsi="宋体" w:eastAsia="宋体" w:cs="Times New Roman"/>
          <w:sz w:val="24"/>
          <w:szCs w:val="24"/>
        </w:rPr>
        <w:t>）</w:t>
      </w:r>
      <w:r>
        <w:rPr>
          <w:rFonts w:hint="eastAsia" w:ascii="宋体" w:hAnsi="宋体" w:eastAsia="宋体" w:cs="Times New Roman"/>
          <w:sz w:val="24"/>
          <w:szCs w:val="24"/>
        </w:rPr>
        <w:t>查询。如因您未及时查询，或因通讯、系统故障或其他不可抗力等因素的影响，致使您无法及时了解理财产品信息，所产生的责任和风险将由</w:t>
      </w:r>
      <w:r>
        <w:rPr>
          <w:rFonts w:ascii="宋体" w:hAnsi="宋体" w:eastAsia="宋体" w:cs="Times New Roman"/>
          <w:sz w:val="24"/>
          <w:szCs w:val="24"/>
        </w:rPr>
        <w:t>您</w:t>
      </w:r>
      <w:r>
        <w:rPr>
          <w:rFonts w:hint="eastAsia" w:ascii="宋体" w:hAnsi="宋体" w:eastAsia="宋体" w:cs="Times New Roman"/>
          <w:sz w:val="24"/>
          <w:szCs w:val="24"/>
        </w:rPr>
        <w:t>自行承担。</w:t>
      </w:r>
    </w:p>
    <w:p w14:paraId="07072241">
      <w:pPr>
        <w:pStyle w:val="23997a72"/>
        <w:spacing w:line="312" w:lineRule="auto"/>
        <w:ind w:left="63" w:leftChars="30" w:firstLine="480" w:firstLineChars="200"/>
        <w:rPr>
          <w:rFonts w:ascii="宋体" w:hAnsi="宋体" w:eastAsia="宋体" w:cs="Times New Roman"/>
          <w:b/>
          <w:sz w:val="24"/>
          <w:szCs w:val="24"/>
        </w:rPr>
      </w:pPr>
      <w:r>
        <w:rPr>
          <w:rFonts w:hint="eastAsia" w:ascii="宋体" w:hAnsi="宋体" w:eastAsia="宋体" w:cs="Times New Roman"/>
          <w:sz w:val="24"/>
          <w:szCs w:val="24"/>
        </w:rPr>
        <w:t>您预留在</w:t>
      </w:r>
      <w:r>
        <w:rPr>
          <w:rFonts w:ascii="宋体" w:hAnsi="宋体" w:eastAsia="宋体" w:cs="Times New Roman"/>
          <w:sz w:val="24"/>
          <w:szCs w:val="24"/>
        </w:rPr>
        <w:t>公司</w:t>
      </w:r>
      <w:r>
        <w:rPr>
          <w:rFonts w:hint="eastAsia" w:ascii="宋体" w:hAnsi="宋体" w:eastAsia="宋体" w:cs="Times New Roman"/>
          <w:sz w:val="24"/>
          <w:szCs w:val="24"/>
        </w:rPr>
        <w:t>或代理销售机构的有效联系方式若发生变更，应及时通知</w:t>
      </w:r>
      <w:r>
        <w:rPr>
          <w:rFonts w:ascii="宋体" w:hAnsi="宋体" w:eastAsia="宋体" w:cs="Times New Roman"/>
          <w:sz w:val="24"/>
          <w:szCs w:val="24"/>
        </w:rPr>
        <w:t>公司</w:t>
      </w:r>
      <w:r>
        <w:rPr>
          <w:rFonts w:hint="eastAsia" w:ascii="宋体" w:hAnsi="宋体" w:eastAsia="宋体" w:cs="Times New Roman"/>
          <w:sz w:val="24"/>
          <w:szCs w:val="24"/>
        </w:rPr>
        <w:t>或代理销售机构，如因您未及时告知，导致公司或代理销售机构无法及时联系您，由此产生的责任和风险将由</w:t>
      </w:r>
      <w:r>
        <w:rPr>
          <w:rFonts w:ascii="宋体" w:hAnsi="宋体" w:eastAsia="宋体" w:cs="Times New Roman"/>
          <w:sz w:val="24"/>
          <w:szCs w:val="24"/>
        </w:rPr>
        <w:t>您</w:t>
      </w:r>
      <w:r>
        <w:rPr>
          <w:rFonts w:hint="eastAsia" w:ascii="宋体" w:hAnsi="宋体" w:eastAsia="宋体" w:cs="Times New Roman"/>
          <w:sz w:val="24"/>
          <w:szCs w:val="24"/>
        </w:rPr>
        <w:t>自行承担。</w:t>
      </w:r>
    </w:p>
    <w:p w14:paraId="30DE57A5">
      <w:pPr>
        <w:pStyle w:val="23997a72"/>
        <w:spacing w:line="312" w:lineRule="auto"/>
        <w:ind w:left="63" w:leftChars="30" w:firstLine="482" w:firstLineChars="200"/>
        <w:rPr>
          <w:rFonts w:ascii="宋体" w:hAnsi="宋体" w:eastAsia="宋体" w:cs="Courier New"/>
          <w:bCs/>
          <w:sz w:val="24"/>
          <w:szCs w:val="24"/>
        </w:rPr>
      </w:pPr>
      <w:r>
        <w:rPr>
          <w:rFonts w:ascii="宋体" w:hAnsi="宋体" w:eastAsia="宋体" w:cs="Courier New"/>
          <w:b/>
          <w:bCs/>
          <w:sz w:val="24"/>
          <w:szCs w:val="24"/>
        </w:rPr>
        <w:t>10</w:t>
      </w:r>
      <w:r>
        <w:rPr>
          <w:rFonts w:hint="eastAsia" w:ascii="宋体" w:hAnsi="宋体" w:eastAsia="宋体" w:cs="Courier New"/>
          <w:b/>
          <w:bCs/>
          <w:sz w:val="24"/>
          <w:szCs w:val="24"/>
        </w:rPr>
        <w:t>、汇率风险：</w:t>
      </w:r>
      <w:r>
        <w:rPr>
          <w:rFonts w:hint="eastAsia" w:ascii="宋体" w:hAnsi="宋体" w:eastAsia="宋体" w:cs="Courier New"/>
          <w:bCs/>
          <w:sz w:val="24"/>
          <w:szCs w:val="24"/>
        </w:rPr>
        <w:t>当理财产品的投资涉及非本国货币时，存在汇率波动带来的风险。</w:t>
      </w:r>
    </w:p>
    <w:p w14:paraId="7DFA6DBC">
      <w:pPr>
        <w:pStyle w:val="23997a72"/>
        <w:spacing w:line="312" w:lineRule="auto"/>
        <w:ind w:left="63" w:leftChars="30" w:firstLine="482" w:firstLineChars="200"/>
        <w:rPr>
          <w:rFonts w:ascii="宋体" w:hAnsi="宋体" w:eastAsia="宋体" w:cs="Times New Roman"/>
          <w:sz w:val="24"/>
          <w:szCs w:val="24"/>
        </w:rPr>
      </w:pPr>
      <w:r>
        <w:rPr>
          <w:rFonts w:hint="eastAsia" w:ascii="宋体" w:hAnsi="宋体" w:eastAsia="宋体" w:cs="Times New Roman"/>
          <w:b/>
          <w:sz w:val="24"/>
          <w:szCs w:val="24"/>
        </w:rPr>
        <w:t>1</w:t>
      </w:r>
      <w:r>
        <w:rPr>
          <w:rFonts w:ascii="宋体" w:hAnsi="宋体" w:eastAsia="宋体" w:cs="Times New Roman"/>
          <w:b/>
          <w:sz w:val="24"/>
          <w:szCs w:val="24"/>
        </w:rPr>
        <w:t>1</w:t>
      </w:r>
      <w:r>
        <w:rPr>
          <w:rFonts w:hint="eastAsia" w:ascii="宋体" w:hAnsi="宋体" w:eastAsia="宋体" w:cs="Times New Roman"/>
          <w:b/>
          <w:sz w:val="24"/>
          <w:szCs w:val="24"/>
        </w:rPr>
        <w:t>、不可抗力风险及意外事件风险：</w:t>
      </w:r>
      <w:r>
        <w:rPr>
          <w:rFonts w:hint="eastAsia" w:ascii="宋体" w:hAnsi="宋体" w:eastAsia="宋体" w:cs="Times New Roman"/>
          <w:sz w:val="24"/>
          <w:szCs w:val="24"/>
        </w:rPr>
        <w:t>战争、自然灾害、重大政治事件等不可抗力因素或非宁银理财原因的系统故障、投资市场停止交易等意外事件，可能严重影响理财产品的正常运作，影响理财</w:t>
      </w:r>
      <w:r>
        <w:rPr>
          <w:rFonts w:ascii="宋体" w:hAnsi="宋体" w:eastAsia="宋体" w:cs="Times New Roman"/>
          <w:sz w:val="24"/>
          <w:szCs w:val="24"/>
        </w:rPr>
        <w:t>产品投资业绩</w:t>
      </w:r>
      <w:r>
        <w:rPr>
          <w:rFonts w:hint="eastAsia" w:ascii="宋体" w:hAnsi="宋体" w:eastAsia="宋体" w:cs="Times New Roman"/>
          <w:sz w:val="24"/>
          <w:szCs w:val="24"/>
        </w:rPr>
        <w:t>。</w:t>
      </w:r>
    </w:p>
    <w:p w14:paraId="34A26F1B">
      <w:pPr>
        <w:pStyle w:val="23997a72"/>
        <w:spacing w:line="312" w:lineRule="auto"/>
        <w:ind w:firstLine="482" w:firstLineChars="200"/>
        <w:rPr>
          <w:rFonts w:ascii="宋体" w:hAnsi="宋体" w:eastAsia="宋体" w:cs="Times New Roman"/>
          <w:bCs/>
          <w:sz w:val="24"/>
          <w:szCs w:val="24"/>
        </w:rPr>
      </w:pPr>
      <w:r>
        <w:rPr>
          <w:rFonts w:ascii="宋体" w:hAnsi="宋体" w:eastAsia="宋体" w:cs="Times New Roman"/>
          <w:b/>
          <w:sz w:val="24"/>
          <w:szCs w:val="24"/>
        </w:rPr>
        <w:t>12、特别风险提示：</w:t>
      </w:r>
      <w:r>
        <w:rPr>
          <w:rFonts w:hint="eastAsia" w:ascii="宋体" w:hAnsi="宋体" w:eastAsia="宋体" w:cs="Times New Roman"/>
          <w:bCs/>
          <w:sz w:val="24"/>
          <w:szCs w:val="24"/>
        </w:rPr>
        <w:t>本产品计划投资于商品及金融衍生品类</w:t>
      </w:r>
      <w:r>
        <w:rPr>
          <w:rFonts w:ascii="宋体" w:hAnsi="宋体" w:eastAsia="宋体" w:cs="Times New Roman"/>
          <w:bCs/>
          <w:sz w:val="24"/>
          <w:szCs w:val="24"/>
        </w:rPr>
        <w:t>资产，投资于以上资产可能面临包括但不限于以下持仓风险：</w:t>
      </w:r>
    </w:p>
    <w:p w14:paraId="2A4E6D8E">
      <w:pPr>
        <w:pStyle w:val="23997a72"/>
        <w:spacing w:line="312" w:lineRule="auto"/>
        <w:ind w:firstLine="482" w:firstLineChars="200"/>
        <w:rPr>
          <w:rFonts w:ascii="宋体" w:hAnsi="宋体" w:eastAsia="宋体" w:cs="Times New Roman"/>
          <w:b/>
          <w:sz w:val="24"/>
          <w:szCs w:val="24"/>
        </w:rPr>
      </w:pPr>
      <w:r>
        <w:rPr>
          <w:rFonts w:hint="eastAsia" w:ascii="宋体" w:hAnsi="宋体" w:eastAsia="宋体" w:cs="Times New Roman"/>
          <w:b/>
          <w:sz w:val="24"/>
          <w:szCs w:val="24"/>
        </w:rPr>
        <w:t>（</w:t>
      </w:r>
      <w:r>
        <w:rPr>
          <w:rFonts w:ascii="宋体" w:hAnsi="宋体" w:eastAsia="宋体" w:cs="Times New Roman"/>
          <w:b/>
          <w:sz w:val="24"/>
          <w:szCs w:val="24"/>
        </w:rPr>
        <w:t>1）</w:t>
      </w:r>
      <w:r>
        <w:rPr>
          <w:rFonts w:ascii="宋体" w:hAnsi="宋体" w:eastAsia="宋体" w:cs="Times New Roman"/>
          <w:b/>
          <w:sz w:val="24"/>
          <w:szCs w:val="24"/>
        </w:rPr>
        <w:tab/>
      </w:r>
      <w:r>
        <w:rPr>
          <w:rFonts w:ascii="宋体" w:hAnsi="宋体" w:eastAsia="宋体" w:cs="Times New Roman"/>
          <w:b/>
          <w:sz w:val="24"/>
          <w:szCs w:val="24"/>
        </w:rPr>
        <w:t>交易对手相关风险：</w:t>
      </w:r>
      <w:r>
        <w:rPr>
          <w:rFonts w:ascii="宋体" w:hAnsi="宋体" w:eastAsia="宋体" w:cs="Times New Roman"/>
          <w:sz w:val="24"/>
          <w:szCs w:val="24"/>
        </w:rPr>
        <w:t>金融衍生品交易对手相关风险可能包括信用风险、操作风险、技术风险等。其中，信用风险指在金融衍生品交易和结算过程中，交易对手方可能发生违约情形、遭受不可抗力影响或因破产等其他非主观原因导致无法履行金融衍生品交易合同项下的支付、交付义务而给投资者造成损失的风险；操作风险指交易对手在业务操作过程中，可能因操作失误或违反操作规程导致交易失败或资金划拨失败等而给投资者带来的风险；技术风险指交易对手由于信息技术系统发生故障、存在缺陷等因素影响交易撮合、清算估值、会计核算、资金划转等业务的正常开展</w:t>
      </w:r>
      <w:r>
        <w:rPr>
          <w:rFonts w:hint="eastAsia" w:ascii="宋体" w:hAnsi="宋体" w:eastAsia="宋体" w:cs="Times New Roman"/>
          <w:sz w:val="24"/>
          <w:szCs w:val="24"/>
        </w:rPr>
        <w:t>，导致投资者利益受到影响的风险。</w:t>
      </w:r>
    </w:p>
    <w:p w14:paraId="63B9744C">
      <w:pPr>
        <w:pStyle w:val="23997a72"/>
        <w:spacing w:line="312" w:lineRule="auto"/>
        <w:ind w:firstLine="482" w:firstLineChars="200"/>
        <w:rPr>
          <w:rFonts w:ascii="宋体" w:hAnsi="宋体" w:eastAsia="宋体" w:cs="Times New Roman"/>
          <w:b/>
          <w:sz w:val="24"/>
          <w:szCs w:val="24"/>
        </w:rPr>
      </w:pPr>
      <w:r>
        <w:rPr>
          <w:rFonts w:hint="eastAsia" w:ascii="宋体" w:hAnsi="宋体" w:eastAsia="宋体" w:cs="Times New Roman"/>
          <w:b/>
          <w:sz w:val="24"/>
          <w:szCs w:val="24"/>
        </w:rPr>
        <w:t>（</w:t>
      </w:r>
      <w:r>
        <w:rPr>
          <w:rFonts w:ascii="宋体" w:hAnsi="宋体" w:eastAsia="宋体" w:cs="Times New Roman"/>
          <w:b/>
          <w:sz w:val="24"/>
          <w:szCs w:val="24"/>
        </w:rPr>
        <w:t>2）</w:t>
      </w:r>
      <w:r>
        <w:rPr>
          <w:rFonts w:ascii="宋体" w:hAnsi="宋体" w:eastAsia="宋体" w:cs="Times New Roman"/>
          <w:b/>
          <w:sz w:val="24"/>
          <w:szCs w:val="24"/>
        </w:rPr>
        <w:tab/>
      </w:r>
      <w:r>
        <w:rPr>
          <w:rFonts w:ascii="宋体" w:hAnsi="宋体" w:eastAsia="宋体" w:cs="Times New Roman"/>
          <w:b/>
          <w:sz w:val="24"/>
          <w:szCs w:val="24"/>
        </w:rPr>
        <w:t>金融衍生品估值模型风险：</w:t>
      </w:r>
      <w:r>
        <w:rPr>
          <w:rFonts w:ascii="宋体" w:hAnsi="宋体" w:eastAsia="宋体" w:cs="Times New Roman"/>
          <w:sz w:val="24"/>
          <w:szCs w:val="24"/>
        </w:rPr>
        <w:t>金融衍生品的估值结果受到估值模型、基于估值模型的计算方法及模型参数等多方面因素的共同影响，任一因素的调整均会导致计算得到的估值结果发生变动，因此金融衍生品存续期间的估值结果仅可作为参考，具体金融衍生品提前终止、部分提前终止、追加交易等均以交易对手实际交易确认结果为准。</w:t>
      </w:r>
    </w:p>
    <w:p w14:paraId="2E93B44D">
      <w:pPr>
        <w:pStyle w:val="23997a72"/>
        <w:spacing w:line="312" w:lineRule="auto"/>
        <w:ind w:firstLine="482" w:firstLineChars="200"/>
        <w:rPr>
          <w:rFonts w:ascii="宋体" w:hAnsi="宋体" w:eastAsia="宋体" w:cs="Times New Roman"/>
          <w:b/>
          <w:sz w:val="24"/>
          <w:szCs w:val="24"/>
        </w:rPr>
      </w:pPr>
      <w:r>
        <w:rPr>
          <w:rFonts w:hint="eastAsia" w:ascii="宋体" w:hAnsi="宋体" w:eastAsia="宋体" w:cs="Times New Roman"/>
          <w:b/>
          <w:sz w:val="24"/>
          <w:szCs w:val="24"/>
        </w:rPr>
        <w:t>上述风险发生时，您的本金及收益可能遭受损失，在最不利情况下，您将损失全部的本金及收益，由此产生的风险及损失将由</w:t>
      </w:r>
      <w:r>
        <w:rPr>
          <w:rFonts w:ascii="宋体" w:hAnsi="宋体" w:eastAsia="宋体" w:cs="Times New Roman"/>
          <w:b/>
          <w:sz w:val="24"/>
          <w:szCs w:val="24"/>
        </w:rPr>
        <w:t>您</w:t>
      </w:r>
      <w:r>
        <w:rPr>
          <w:rFonts w:hint="eastAsia" w:ascii="宋体" w:hAnsi="宋体" w:eastAsia="宋体" w:cs="Times New Roman"/>
          <w:b/>
          <w:sz w:val="24"/>
          <w:szCs w:val="24"/>
        </w:rPr>
        <w:t>自行承担。</w:t>
      </w:r>
    </w:p>
    <w:p w14:paraId="7914EF63">
      <w:pPr>
        <w:pStyle w:val="23997a72"/>
        <w:spacing w:line="312" w:lineRule="auto"/>
        <w:ind w:left="63" w:leftChars="30" w:firstLine="480" w:firstLineChars="200"/>
        <w:rPr>
          <w:rFonts w:ascii="宋体" w:hAnsi="宋体" w:eastAsia="宋体" w:cs="Times New Roman"/>
          <w:sz w:val="24"/>
          <w:szCs w:val="24"/>
        </w:rPr>
      </w:pPr>
    </w:p>
    <w:p w14:paraId="4017E514">
      <w:pPr>
        <w:pStyle w:val="23997a72"/>
        <w:spacing w:line="312" w:lineRule="auto"/>
        <w:ind w:left="63" w:leftChars="30" w:firstLine="480" w:firstLineChars="200"/>
        <w:rPr>
          <w:rFonts w:ascii="宋体" w:hAnsi="宋体" w:eastAsia="宋体" w:cs="Times New Roman"/>
          <w:sz w:val="24"/>
          <w:szCs w:val="24"/>
        </w:rPr>
      </w:pPr>
      <w:r>
        <w:rPr>
          <w:rFonts w:hint="eastAsia" w:ascii="宋体" w:hAnsi="宋体" w:eastAsia="宋体" w:cs="Times New Roman"/>
          <w:sz w:val="24"/>
          <w:szCs w:val="24"/>
        </w:rPr>
        <w:t>根据现行法律法规对于理财</w:t>
      </w:r>
      <w:r>
        <w:rPr>
          <w:rFonts w:ascii="宋体" w:hAnsi="宋体" w:eastAsia="宋体" w:cs="Times New Roman"/>
          <w:sz w:val="24"/>
          <w:szCs w:val="24"/>
        </w:rPr>
        <w:t>产品的分类</w:t>
      </w:r>
      <w:r>
        <w:rPr>
          <w:rFonts w:hint="eastAsia" w:ascii="宋体" w:hAnsi="宋体" w:eastAsia="宋体" w:cs="Times New Roman"/>
          <w:sz w:val="24"/>
          <w:szCs w:val="24"/>
        </w:rPr>
        <w:t>，您还需要了解以下信息：</w:t>
      </w:r>
    </w:p>
    <w:p w14:paraId="25BB7CD2">
      <w:pPr>
        <w:pStyle w:val="23997a72"/>
        <w:spacing w:line="312" w:lineRule="auto"/>
        <w:ind w:left="63" w:leftChars="30" w:firstLine="482" w:firstLineChars="200"/>
        <w:rPr>
          <w:rFonts w:ascii="宋体" w:hAnsi="宋体" w:eastAsia="宋体" w:cs="Times New Roman"/>
          <w:sz w:val="24"/>
          <w:szCs w:val="24"/>
        </w:rPr>
      </w:pPr>
      <w:r>
        <w:rPr>
          <w:rFonts w:ascii="宋体" w:hAnsi="宋体" w:eastAsia="宋体" w:cs="Times New Roman"/>
          <w:b/>
          <w:sz w:val="24"/>
          <w:szCs w:val="24"/>
        </w:rPr>
        <w:t>1、</w:t>
      </w:r>
      <w:r>
        <w:rPr>
          <w:rFonts w:hint="eastAsia" w:ascii="宋体" w:hAnsi="宋体" w:eastAsia="宋体" w:cs="Times New Roman"/>
          <w:b/>
          <w:sz w:val="24"/>
          <w:szCs w:val="24"/>
        </w:rPr>
        <w:t>根据募集方式的不同，理财产品分为公募理财产品和私募理财产品。</w:t>
      </w:r>
      <w:r>
        <w:rPr>
          <w:rFonts w:hint="eastAsia" w:ascii="宋体" w:hAnsi="宋体" w:eastAsia="宋体" w:cs="Times New Roman"/>
          <w:sz w:val="24"/>
          <w:szCs w:val="24"/>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14:paraId="52896AA5">
      <w:pPr>
        <w:pStyle w:val="23997a72"/>
        <w:spacing w:line="312" w:lineRule="auto"/>
        <w:ind w:left="63" w:leftChars="30" w:firstLine="480" w:firstLineChars="200"/>
        <w:rPr>
          <w:rFonts w:ascii="宋体" w:hAnsi="宋体" w:eastAsia="宋体" w:cs="Times New Roman"/>
          <w:sz w:val="24"/>
          <w:szCs w:val="24"/>
        </w:rPr>
      </w:pPr>
      <w:r>
        <w:rPr>
          <w:rFonts w:hint="eastAsia" w:ascii="宋体" w:hAnsi="宋体" w:eastAsia="宋体" w:cs="Times New Roman"/>
          <w:sz w:val="24"/>
          <w:szCs w:val="24"/>
        </w:rPr>
        <w:t>（一）具有2年以上投资经历，且满足家庭金融净资产不低于300万元人民币，或者家庭金融资产不低于500万元人民币，或者近3年本人年均收入不低于40万元人民币；</w:t>
      </w:r>
    </w:p>
    <w:p w14:paraId="79848A36">
      <w:pPr>
        <w:pStyle w:val="23997a72"/>
        <w:spacing w:line="312" w:lineRule="auto"/>
        <w:ind w:left="63" w:leftChars="30" w:firstLine="480" w:firstLineChars="200"/>
        <w:rPr>
          <w:rFonts w:ascii="宋体" w:hAnsi="宋体" w:eastAsia="宋体" w:cs="Times New Roman"/>
          <w:sz w:val="24"/>
          <w:szCs w:val="24"/>
        </w:rPr>
      </w:pPr>
      <w:r>
        <w:rPr>
          <w:rFonts w:hint="eastAsia" w:ascii="宋体" w:hAnsi="宋体" w:eastAsia="宋体" w:cs="Times New Roman"/>
          <w:sz w:val="24"/>
          <w:szCs w:val="24"/>
        </w:rPr>
        <w:t>（二）最近1年末净资产不低于1000万元人民币的法人或者依法成立的其他组织；</w:t>
      </w:r>
    </w:p>
    <w:p w14:paraId="3B4562F9">
      <w:pPr>
        <w:pStyle w:val="23997a72"/>
        <w:spacing w:line="312" w:lineRule="auto"/>
        <w:ind w:left="63" w:leftChars="30" w:firstLine="480" w:firstLineChars="200"/>
        <w:rPr>
          <w:rFonts w:ascii="宋体" w:hAnsi="宋体" w:eastAsia="宋体" w:cs="Times New Roman"/>
          <w:sz w:val="24"/>
          <w:szCs w:val="24"/>
        </w:rPr>
      </w:pPr>
      <w:r>
        <w:rPr>
          <w:rFonts w:hint="eastAsia" w:ascii="宋体" w:hAnsi="宋体" w:eastAsia="宋体" w:cs="Times New Roman"/>
          <w:sz w:val="24"/>
          <w:szCs w:val="24"/>
        </w:rPr>
        <w:t>（三）国务院银行业监督管理机构规定的其他情形。</w:t>
      </w:r>
    </w:p>
    <w:p w14:paraId="78126DD9">
      <w:pPr>
        <w:pStyle w:val="23997a72"/>
        <w:spacing w:line="312" w:lineRule="auto"/>
        <w:ind w:left="63" w:leftChars="30" w:firstLine="482" w:firstLineChars="200"/>
        <w:rPr>
          <w:rFonts w:ascii="宋体" w:hAnsi="宋体" w:eastAsia="宋体" w:cs="Times New Roman"/>
          <w:sz w:val="24"/>
          <w:szCs w:val="24"/>
        </w:rPr>
      </w:pPr>
      <w:r>
        <w:rPr>
          <w:rFonts w:ascii="宋体" w:hAnsi="宋体" w:eastAsia="宋体" w:cs="Times New Roman"/>
          <w:b/>
          <w:sz w:val="24"/>
          <w:szCs w:val="24"/>
        </w:rPr>
        <w:t>2、</w:t>
      </w:r>
      <w:r>
        <w:rPr>
          <w:rFonts w:hint="eastAsia" w:ascii="宋体" w:hAnsi="宋体" w:eastAsia="宋体" w:cs="Times New Roman"/>
          <w:b/>
          <w:sz w:val="24"/>
          <w:szCs w:val="24"/>
        </w:rPr>
        <w:t>根据投资性质的不同，理财产品分为固定收益类理财产品、权益类理财产品、商品及金融衍生品类理财产品和混合类理财产品。</w:t>
      </w:r>
      <w:r>
        <w:rPr>
          <w:rFonts w:hint="eastAsia" w:ascii="宋体" w:hAnsi="宋体" w:eastAsia="宋体" w:cs="Times New Roman"/>
          <w:sz w:val="24"/>
          <w:szCs w:val="24"/>
        </w:rPr>
        <w:t>固定收益类理财产品投资于存款、债券等债权类资产的比例不低于</w:t>
      </w:r>
      <w:r>
        <w:rPr>
          <w:rFonts w:ascii="宋体" w:hAnsi="宋体" w:eastAsia="宋体" w:cs="Times New Roman"/>
          <w:sz w:val="24"/>
          <w:szCs w:val="24"/>
        </w:rPr>
        <w:t>80%；权益类理财产品投资于权益类资产的比例不低于80%；商品及金融衍生品类理财产品投资于商品及金融衍生品的比例不低于80%；混合类理财产品投资于债权类资产、权益类资产、商品及金融衍生品类资产且任</w:t>
      </w:r>
      <w:r>
        <w:rPr>
          <w:rFonts w:hint="eastAsia" w:ascii="宋体" w:hAnsi="宋体" w:eastAsia="宋体" w:cs="Times New Roman"/>
          <w:sz w:val="24"/>
          <w:szCs w:val="24"/>
        </w:rPr>
        <w:t>一资产的投资比例未达到前三类理财产品标准。</w:t>
      </w:r>
    </w:p>
    <w:p w14:paraId="6C0A327A">
      <w:pPr>
        <w:pStyle w:val="23997a72"/>
        <w:spacing w:line="312" w:lineRule="auto"/>
        <w:ind w:left="63" w:leftChars="30" w:firstLine="482" w:firstLineChars="200"/>
        <w:rPr>
          <w:rFonts w:ascii="宋体" w:hAnsi="宋体" w:eastAsia="宋体" w:cs="Times New Roman"/>
          <w:sz w:val="24"/>
          <w:szCs w:val="24"/>
        </w:rPr>
      </w:pPr>
      <w:r>
        <w:rPr>
          <w:rFonts w:ascii="宋体" w:hAnsi="宋体" w:eastAsia="宋体" w:cs="Times New Roman"/>
          <w:b/>
          <w:sz w:val="24"/>
          <w:szCs w:val="24"/>
        </w:rPr>
        <w:t>3、</w:t>
      </w:r>
      <w:r>
        <w:rPr>
          <w:rFonts w:hint="eastAsia" w:ascii="宋体" w:hAnsi="宋体" w:eastAsia="宋体" w:cs="Times New Roman"/>
          <w:b/>
          <w:sz w:val="24"/>
          <w:szCs w:val="24"/>
        </w:rPr>
        <w:t>根据运作方式的不同，将理财产品分为封闭式理财产品和开放式理财产品。</w:t>
      </w:r>
      <w:r>
        <w:rPr>
          <w:rFonts w:hint="eastAsia" w:ascii="宋体" w:hAnsi="宋体" w:eastAsia="宋体" w:cs="Times New Roman"/>
          <w:sz w:val="24"/>
          <w:szCs w:val="24"/>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14:paraId="0577731D">
      <w:pPr>
        <w:pStyle w:val="23997a72"/>
        <w:spacing w:line="312" w:lineRule="auto"/>
        <w:ind w:left="63" w:leftChars="30" w:firstLine="480" w:firstLineChars="200"/>
        <w:rPr>
          <w:rFonts w:ascii="宋体" w:hAnsi="宋体" w:eastAsia="宋体" w:cs="Times New Roman"/>
          <w:sz w:val="24"/>
          <w:szCs w:val="24"/>
        </w:rPr>
      </w:pPr>
    </w:p>
    <w:p w14:paraId="3F66F55F">
      <w:pPr>
        <w:pStyle w:val="23997a72"/>
        <w:spacing w:line="312" w:lineRule="auto"/>
        <w:ind w:left="63" w:leftChars="30" w:firstLine="480" w:firstLineChars="200"/>
        <w:rPr>
          <w:rFonts w:ascii="宋体" w:hAnsi="宋体" w:eastAsia="宋体" w:cs="Times New Roman"/>
          <w:sz w:val="24"/>
          <w:szCs w:val="24"/>
        </w:rPr>
      </w:pPr>
      <w:r>
        <w:rPr>
          <w:rFonts w:hint="eastAsia" w:ascii="宋体" w:hAnsi="宋体" w:eastAsia="宋体" w:cs="Times New Roman"/>
          <w:sz w:val="24"/>
          <w:szCs w:val="24"/>
        </w:rPr>
        <w:t>对于在本公司直销渠道购买的产品，产品评级以本公司的评级结果为准。对于在代理销售机构购买的产品，代理销售机构应当独立、审慎地对本理财产品进行销售评级，代理销售机构对产品的评级与本公司产品评级结果不一致的，代理销售机构应当采用对应较高风险等级的评级结果并予以披露，理财产品评级应当以代理销售机构最终披露的评级结果为准。</w:t>
      </w:r>
    </w:p>
    <w:p w14:paraId="05103772">
      <w:pPr>
        <w:pStyle w:val="4d8695a3"/>
        <w:ind w:firstLine="420"/>
      </w:pPr>
      <w:r>
        <w:t>本产品为</w:t>
      </w:r>
      <w:r>
        <w:rPr>
          <w:rFonts w:hint="eastAsia"/>
        </w:rPr>
        <w:t>公募</w:t>
      </w:r>
      <w:r>
        <w:t>固定收益类封闭式理财，收益类型为非保本浮动收益,投资期限为</w:t>
      </w:r>
      <w:r>
        <w:rPr>
          <w:rFonts w:hint="eastAsia"/>
          <w:lang w:val="en-US" w:eastAsia="zh-CN"/>
        </w:rPr>
        <w:t>763</w:t>
      </w:r>
      <w:r>
        <w:rPr>
          <w:rFonts w:hint="eastAsia"/>
        </w:rPr>
        <w:t>天</w:t>
      </w:r>
      <w:r>
        <w:t>,本公司对本产品的产品风险评级为PR2,适合被本公司评为稳健型</w:t>
      </w:r>
      <w:r>
        <w:rPr>
          <w:rFonts w:hint="eastAsia"/>
        </w:rPr>
        <w:t>，</w:t>
      </w:r>
      <w:r>
        <w:t>平衡型</w:t>
      </w:r>
      <w:r>
        <w:rPr>
          <w:rFonts w:hint="eastAsia"/>
        </w:rPr>
        <w:t>，</w:t>
      </w:r>
      <w:r>
        <w:t>成长型</w:t>
      </w:r>
      <w:r>
        <w:rPr>
          <w:rFonts w:hint="eastAsia"/>
        </w:rPr>
        <w:t>，</w:t>
      </w:r>
      <w:r>
        <w:t>进取型的投资者购买。该产品通过代理销售机构购买的，产品风险评级以代理销售机构最终披露的评级结果为准，投资者的风险承受能力等级以代理销售机构的评估结果为准。</w:t>
      </w:r>
    </w:p>
    <w:p w14:paraId="336617FF">
      <w:pPr>
        <w:pStyle w:val="23997a72"/>
        <w:spacing w:line="312" w:lineRule="auto"/>
        <w:ind w:left="63" w:leftChars="30" w:firstLine="482" w:firstLineChars="200"/>
        <w:rPr>
          <w:rFonts w:ascii="宋体" w:hAnsi="宋体" w:eastAsia="宋体" w:cs="Times New Roman"/>
          <w:b/>
          <w:sz w:val="24"/>
          <w:szCs w:val="24"/>
        </w:rPr>
      </w:pPr>
      <w:r>
        <w:rPr>
          <w:rFonts w:hint="eastAsia" w:ascii="宋体" w:hAnsi="宋体" w:eastAsia="宋体" w:cs="Times New Roman"/>
          <w:b/>
          <w:sz w:val="24"/>
          <w:szCs w:val="24"/>
        </w:rPr>
        <w:t>投资者的本金和收益可能会因市场变动而蒙受重大损失，投资者应充分认识投资风险，谨慎投资。最不利情况下，</w:t>
      </w:r>
      <w:r>
        <w:rPr>
          <w:rFonts w:ascii="宋体" w:hAnsi="宋体" w:eastAsia="宋体" w:cs="Times New Roman"/>
          <w:b/>
          <w:sz w:val="24"/>
          <w:szCs w:val="24"/>
        </w:rPr>
        <w:t>您将损失全部本金及收益。</w:t>
      </w:r>
    </w:p>
    <w:p w14:paraId="003DBA6A">
      <w:pPr>
        <w:pStyle w:val="23997a72"/>
        <w:spacing w:line="312" w:lineRule="auto"/>
        <w:ind w:left="63" w:leftChars="30" w:firstLine="480" w:firstLineChars="200"/>
        <w:rPr>
          <w:rFonts w:ascii="宋体" w:hAnsi="宋体" w:eastAsia="宋体" w:cs="Times New Roman"/>
          <w:sz w:val="24"/>
          <w:szCs w:val="24"/>
        </w:rPr>
      </w:pPr>
      <w:r>
        <w:rPr>
          <w:rFonts w:hint="eastAsia" w:ascii="宋体" w:hAnsi="宋体" w:eastAsia="宋体" w:cs="Times New Roman"/>
          <w:sz w:val="24"/>
          <w:szCs w:val="24"/>
        </w:rPr>
        <w:t>示例：如投资者购买本理财产品，本金为10,000.00元，在理财产品资产组合项下资产全部亏损的最不利情况下，理财产品10,000.00元本金将全部损失。</w:t>
      </w:r>
    </w:p>
    <w:p w14:paraId="1D245AE9">
      <w:pPr>
        <w:pStyle w:val="23997a72"/>
        <w:spacing w:line="312" w:lineRule="auto"/>
        <w:ind w:left="63" w:leftChars="30" w:firstLine="482" w:firstLineChars="200"/>
        <w:rPr>
          <w:rFonts w:ascii="宋体" w:hAnsi="宋体" w:eastAsia="宋体" w:cs="Times New Roman"/>
          <w:b/>
          <w:sz w:val="24"/>
          <w:szCs w:val="24"/>
        </w:rPr>
      </w:pPr>
      <w:r>
        <w:rPr>
          <w:rFonts w:hint="eastAsia" w:ascii="宋体" w:hAnsi="宋体" w:eastAsia="宋体" w:cs="Times New Roman"/>
          <w:b/>
          <w:sz w:val="24"/>
          <w:szCs w:val="24"/>
        </w:rPr>
        <w:t>特别提示：</w:t>
      </w:r>
    </w:p>
    <w:p w14:paraId="25AADD8D">
      <w:pPr>
        <w:pStyle w:val="23997a72"/>
        <w:spacing w:line="312" w:lineRule="auto"/>
        <w:ind w:left="63" w:leftChars="30" w:firstLine="482" w:firstLineChars="200"/>
        <w:rPr>
          <w:rFonts w:ascii="宋体" w:hAnsi="宋体" w:eastAsia="宋体" w:cs="Times New Roman"/>
          <w:b/>
          <w:sz w:val="24"/>
          <w:szCs w:val="24"/>
        </w:rPr>
      </w:pPr>
      <w:r>
        <w:rPr>
          <w:rFonts w:hint="eastAsia" w:ascii="宋体" w:hAnsi="宋体" w:eastAsia="宋体" w:cs="Times New Roman"/>
          <w:b/>
          <w:sz w:val="24"/>
          <w:szCs w:val="24"/>
        </w:rPr>
        <w:t>该产品通过代理销售机构销售的，理财产品评级应当以代理销售机构最终披露的评级结果为准，投资者的风险承受能力等级以代理销售机构的评估结果为准。</w:t>
      </w:r>
    </w:p>
    <w:p w14:paraId="132C0EA4">
      <w:pPr>
        <w:pStyle w:val="23997a72"/>
        <w:spacing w:line="312" w:lineRule="auto"/>
        <w:ind w:left="63" w:leftChars="30" w:firstLine="482" w:firstLineChars="200"/>
        <w:rPr>
          <w:rFonts w:ascii="宋体" w:hAnsi="宋体" w:eastAsia="宋体" w:cs="Times New Roman"/>
          <w:b/>
          <w:sz w:val="24"/>
          <w:szCs w:val="24"/>
        </w:rPr>
      </w:pPr>
    </w:p>
    <w:p w14:paraId="7605779F">
      <w:pPr>
        <w:pStyle w:val="23997a72"/>
        <w:spacing w:line="312" w:lineRule="auto"/>
        <w:ind w:left="63" w:leftChars="30" w:firstLine="480" w:firstLineChars="200"/>
        <w:rPr>
          <w:rFonts w:ascii="宋体" w:hAnsi="宋体" w:eastAsia="宋体" w:cs="Times New Roman"/>
          <w:sz w:val="24"/>
          <w:szCs w:val="24"/>
        </w:rPr>
      </w:pPr>
    </w:p>
    <w:p w14:paraId="214688B7">
      <w:pPr>
        <w:pStyle w:val="23997a72"/>
        <w:spacing w:line="312" w:lineRule="auto"/>
        <w:ind w:left="63" w:leftChars="30" w:firstLine="482" w:firstLineChars="200"/>
        <w:rPr>
          <w:rFonts w:ascii="宋体" w:hAnsi="宋体" w:eastAsia="宋体" w:cs="Times New Roman"/>
          <w:b/>
          <w:sz w:val="24"/>
          <w:szCs w:val="24"/>
        </w:rPr>
      </w:pPr>
      <w:r>
        <w:rPr>
          <w:rFonts w:hint="eastAsia" w:ascii="宋体" w:hAnsi="宋体" w:eastAsia="宋体" w:cs="Times New Roman"/>
          <w:b/>
          <w:sz w:val="24"/>
          <w:szCs w:val="24"/>
        </w:rPr>
        <w:t>以下内容由投资者填写（如通过线上渠道购买，</w:t>
      </w:r>
      <w:r>
        <w:rPr>
          <w:rFonts w:ascii="宋体" w:hAnsi="宋体" w:eastAsia="宋体" w:cs="Times New Roman"/>
          <w:b/>
          <w:sz w:val="24"/>
          <w:szCs w:val="24"/>
        </w:rPr>
        <w:t>认</w:t>
      </w:r>
      <w:r>
        <w:rPr>
          <w:rFonts w:hint="eastAsia" w:ascii="宋体" w:hAnsi="宋体" w:eastAsia="宋体" w:cs="Times New Roman"/>
          <w:b/>
          <w:sz w:val="24"/>
          <w:szCs w:val="24"/>
        </w:rPr>
        <w:t>（</w:t>
      </w:r>
      <w:r>
        <w:rPr>
          <w:rFonts w:ascii="宋体" w:hAnsi="宋体" w:eastAsia="宋体" w:cs="Times New Roman"/>
          <w:b/>
          <w:sz w:val="24"/>
          <w:szCs w:val="24"/>
        </w:rPr>
        <w:t>申</w:t>
      </w:r>
      <w:r>
        <w:rPr>
          <w:rFonts w:hint="eastAsia" w:ascii="宋体" w:hAnsi="宋体" w:eastAsia="宋体" w:cs="Times New Roman"/>
          <w:b/>
          <w:sz w:val="24"/>
          <w:szCs w:val="24"/>
        </w:rPr>
        <w:t>）</w:t>
      </w:r>
      <w:r>
        <w:rPr>
          <w:rFonts w:ascii="宋体" w:hAnsi="宋体" w:eastAsia="宋体" w:cs="Times New Roman"/>
          <w:b/>
          <w:sz w:val="24"/>
          <w:szCs w:val="24"/>
        </w:rPr>
        <w:t>购</w:t>
      </w:r>
      <w:r>
        <w:rPr>
          <w:rFonts w:hint="eastAsia" w:ascii="宋体" w:hAnsi="宋体" w:eastAsia="宋体" w:cs="Times New Roman"/>
          <w:b/>
          <w:sz w:val="24"/>
          <w:szCs w:val="24"/>
        </w:rPr>
        <w:t>确认</w:t>
      </w:r>
      <w:r>
        <w:rPr>
          <w:rFonts w:ascii="宋体" w:hAnsi="宋体" w:eastAsia="宋体" w:cs="Times New Roman"/>
          <w:b/>
          <w:sz w:val="24"/>
          <w:szCs w:val="24"/>
        </w:rPr>
        <w:t>即视为</w:t>
      </w:r>
      <w:r>
        <w:rPr>
          <w:rFonts w:hint="eastAsia" w:ascii="宋体" w:hAnsi="宋体" w:eastAsia="宋体" w:cs="Times New Roman"/>
          <w:b/>
          <w:sz w:val="24"/>
          <w:szCs w:val="24"/>
        </w:rPr>
        <w:t>您同意自身</w:t>
      </w:r>
      <w:r>
        <w:rPr>
          <w:rFonts w:ascii="宋体" w:hAnsi="宋体" w:eastAsia="宋体" w:cs="Times New Roman"/>
          <w:b/>
          <w:sz w:val="24"/>
          <w:szCs w:val="24"/>
        </w:rPr>
        <w:t>风险</w:t>
      </w:r>
      <w:r>
        <w:rPr>
          <w:rFonts w:hint="eastAsia" w:ascii="宋体" w:hAnsi="宋体" w:eastAsia="宋体" w:cs="Times New Roman"/>
          <w:b/>
          <w:sz w:val="24"/>
          <w:szCs w:val="24"/>
        </w:rPr>
        <w:t>承受</w:t>
      </w:r>
      <w:r>
        <w:rPr>
          <w:rFonts w:ascii="宋体" w:hAnsi="宋体" w:eastAsia="宋体" w:cs="Times New Roman"/>
          <w:b/>
          <w:sz w:val="24"/>
          <w:szCs w:val="24"/>
        </w:rPr>
        <w:t>能力评级并确认</w:t>
      </w:r>
      <w:r>
        <w:rPr>
          <w:rFonts w:hint="eastAsia" w:ascii="宋体" w:hAnsi="宋体" w:eastAsia="宋体" w:cs="Times New Roman"/>
          <w:b/>
          <w:sz w:val="24"/>
          <w:szCs w:val="24"/>
        </w:rPr>
        <w:t>风险</w:t>
      </w:r>
      <w:r>
        <w:rPr>
          <w:rFonts w:ascii="宋体" w:hAnsi="宋体" w:eastAsia="宋体" w:cs="Times New Roman"/>
          <w:b/>
          <w:sz w:val="24"/>
          <w:szCs w:val="24"/>
        </w:rPr>
        <w:t>揭示内容，愿意承担投资风险</w:t>
      </w:r>
      <w:r>
        <w:rPr>
          <w:rFonts w:hint="eastAsia" w:ascii="宋体" w:hAnsi="宋体" w:eastAsia="宋体" w:cs="Times New Roman"/>
          <w:b/>
          <w:sz w:val="24"/>
          <w:szCs w:val="24"/>
        </w:rPr>
        <w:t>，该等确认与书面</w:t>
      </w:r>
      <w:r>
        <w:rPr>
          <w:rFonts w:ascii="宋体" w:hAnsi="宋体" w:eastAsia="宋体" w:cs="Times New Roman"/>
          <w:b/>
          <w:sz w:val="24"/>
          <w:szCs w:val="24"/>
        </w:rPr>
        <w:t>签署具有同等</w:t>
      </w:r>
      <w:r>
        <w:rPr>
          <w:rFonts w:hint="eastAsia" w:ascii="宋体" w:hAnsi="宋体" w:eastAsia="宋体" w:cs="Times New Roman"/>
          <w:b/>
          <w:sz w:val="24"/>
          <w:szCs w:val="24"/>
        </w:rPr>
        <w:t>效力，无需</w:t>
      </w:r>
      <w:r>
        <w:rPr>
          <w:rFonts w:ascii="宋体" w:hAnsi="宋体" w:eastAsia="宋体" w:cs="Times New Roman"/>
          <w:b/>
          <w:sz w:val="24"/>
          <w:szCs w:val="24"/>
        </w:rPr>
        <w:t>另行签署纸质文件</w:t>
      </w:r>
      <w:r>
        <w:rPr>
          <w:rFonts w:hint="eastAsia" w:ascii="宋体" w:hAnsi="宋体" w:eastAsia="宋体" w:cs="Times New Roman"/>
          <w:b/>
          <w:sz w:val="24"/>
          <w:szCs w:val="24"/>
        </w:rPr>
        <w:t>）：</w:t>
      </w:r>
    </w:p>
    <w:p w14:paraId="3A7FC7D9">
      <w:pPr>
        <w:pStyle w:val="23997a72"/>
        <w:spacing w:line="312" w:lineRule="auto"/>
        <w:ind w:left="63" w:leftChars="30" w:firstLine="480" w:firstLineChars="200"/>
        <w:rPr>
          <w:rFonts w:ascii="宋体" w:hAnsi="宋体" w:eastAsia="宋体" w:cs="Times New Roman"/>
          <w:sz w:val="24"/>
          <w:szCs w:val="24"/>
        </w:rPr>
      </w:pPr>
      <w:r>
        <w:rPr>
          <w:rFonts w:hint="eastAsia" w:ascii="宋体" w:hAnsi="宋体" w:eastAsia="宋体" w:cs="Times New Roman"/>
          <w:sz w:val="24"/>
          <w:szCs w:val="24"/>
        </w:rPr>
        <w:t>1、本人风险承受能力评级结果为（机构</w:t>
      </w:r>
      <w:r>
        <w:rPr>
          <w:rFonts w:ascii="宋体" w:hAnsi="宋体" w:eastAsia="宋体" w:cs="Times New Roman"/>
          <w:sz w:val="24"/>
          <w:szCs w:val="24"/>
        </w:rPr>
        <w:t>投资者无需填写）</w:t>
      </w:r>
      <w:r>
        <w:rPr>
          <w:rFonts w:hint="eastAsia" w:ascii="宋体" w:hAnsi="宋体" w:eastAsia="宋体" w:cs="Times New Roman"/>
          <w:sz w:val="24"/>
          <w:szCs w:val="24"/>
        </w:rPr>
        <w:t>：</w:t>
      </w:r>
    </w:p>
    <w:p w14:paraId="3D1C0FE5">
      <w:pPr>
        <w:pStyle w:val="23997a72"/>
        <w:spacing w:line="312" w:lineRule="auto"/>
        <w:ind w:left="63" w:leftChars="30"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w:t>
      </w:r>
      <w:r>
        <w:rPr>
          <w:rFonts w:hint="eastAsia" w:ascii="宋体" w:hAnsi="宋体" w:eastAsia="宋体" w:cs="Times New Roman"/>
          <w:sz w:val="24"/>
          <w:szCs w:val="24"/>
        </w:rPr>
        <w:t>________（通过宁银理财</w:t>
      </w:r>
      <w:r>
        <w:rPr>
          <w:rFonts w:ascii="宋体" w:hAnsi="宋体" w:eastAsia="宋体" w:cs="Times New Roman"/>
          <w:sz w:val="24"/>
          <w:szCs w:val="24"/>
        </w:rPr>
        <w:t>直销</w:t>
      </w:r>
      <w:r>
        <w:rPr>
          <w:rFonts w:hint="eastAsia" w:ascii="宋体" w:hAnsi="宋体" w:eastAsia="宋体" w:cs="Times New Roman"/>
          <w:sz w:val="24"/>
          <w:szCs w:val="24"/>
        </w:rPr>
        <w:t>渠道购买</w:t>
      </w:r>
      <w:r>
        <w:rPr>
          <w:rFonts w:ascii="宋体" w:hAnsi="宋体" w:eastAsia="宋体" w:cs="Times New Roman"/>
          <w:sz w:val="24"/>
          <w:szCs w:val="24"/>
        </w:rPr>
        <w:t>的</w:t>
      </w:r>
      <w:r>
        <w:rPr>
          <w:rFonts w:hint="eastAsia" w:ascii="宋体" w:hAnsi="宋体" w:eastAsia="宋体" w:cs="Times New Roman"/>
          <w:sz w:val="24"/>
          <w:szCs w:val="24"/>
        </w:rPr>
        <w:t>非</w:t>
      </w:r>
      <w:r>
        <w:rPr>
          <w:rFonts w:ascii="宋体" w:hAnsi="宋体" w:eastAsia="宋体" w:cs="Times New Roman"/>
          <w:sz w:val="24"/>
          <w:szCs w:val="24"/>
        </w:rPr>
        <w:t>机构投资者填写）</w:t>
      </w:r>
      <w:r>
        <w:rPr>
          <w:rFonts w:hint="eastAsia" w:ascii="宋体" w:hAnsi="宋体" w:eastAsia="宋体" w:cs="Times New Roman"/>
          <w:sz w:val="24"/>
          <w:szCs w:val="24"/>
        </w:rPr>
        <w:t>，</w:t>
      </w:r>
      <w:r>
        <w:rPr>
          <w:rFonts w:ascii="宋体" w:hAnsi="宋体" w:eastAsia="宋体" w:cs="Times New Roman"/>
          <w:sz w:val="24"/>
          <w:szCs w:val="24"/>
        </w:rPr>
        <w:t>可购买与本人</w:t>
      </w:r>
      <w:r>
        <w:rPr>
          <w:rFonts w:hint="eastAsia" w:ascii="宋体" w:hAnsi="宋体" w:eastAsia="宋体" w:cs="Times New Roman"/>
          <w:sz w:val="24"/>
          <w:szCs w:val="24"/>
        </w:rPr>
        <w:t>风险级别</w:t>
      </w:r>
      <w:r>
        <w:rPr>
          <w:rFonts w:ascii="宋体" w:hAnsi="宋体" w:eastAsia="宋体" w:cs="Times New Roman"/>
          <w:sz w:val="24"/>
          <w:szCs w:val="24"/>
        </w:rPr>
        <w:t>相匹配的</w:t>
      </w:r>
      <w:r>
        <w:rPr>
          <w:rFonts w:hint="eastAsia" w:ascii="宋体" w:hAnsi="宋体" w:eastAsia="宋体" w:cs="Times New Roman"/>
          <w:sz w:val="24"/>
          <w:szCs w:val="24"/>
        </w:rPr>
        <w:t>理财</w:t>
      </w:r>
      <w:r>
        <w:rPr>
          <w:rFonts w:ascii="宋体" w:hAnsi="宋体" w:eastAsia="宋体" w:cs="Times New Roman"/>
          <w:sz w:val="24"/>
          <w:szCs w:val="24"/>
        </w:rPr>
        <w:t>产品</w:t>
      </w:r>
      <w:r>
        <w:rPr>
          <w:rFonts w:hint="eastAsia" w:ascii="宋体" w:hAnsi="宋体" w:eastAsia="宋体" w:cs="Times New Roman"/>
          <w:sz w:val="24"/>
          <w:szCs w:val="24"/>
        </w:rPr>
        <w:t>，</w:t>
      </w:r>
      <w:r>
        <w:rPr>
          <w:rFonts w:ascii="宋体" w:hAnsi="宋体" w:eastAsia="宋体" w:cs="Times New Roman"/>
          <w:sz w:val="24"/>
          <w:szCs w:val="24"/>
        </w:rPr>
        <w:t>具体</w:t>
      </w:r>
      <w:r>
        <w:rPr>
          <w:rFonts w:hint="eastAsia" w:ascii="宋体" w:hAnsi="宋体" w:eastAsia="宋体" w:cs="Times New Roman"/>
          <w:sz w:val="24"/>
          <w:szCs w:val="24"/>
        </w:rPr>
        <w:t>匹配</w:t>
      </w:r>
      <w:r>
        <w:rPr>
          <w:rFonts w:ascii="宋体" w:hAnsi="宋体" w:eastAsia="宋体" w:cs="Times New Roman"/>
          <w:sz w:val="24"/>
          <w:szCs w:val="24"/>
        </w:rPr>
        <w:t>情况见</w:t>
      </w:r>
      <w:r>
        <w:rPr>
          <w:rFonts w:hint="eastAsia" w:ascii="宋体" w:hAnsi="宋体" w:eastAsia="宋体" w:cs="Times New Roman"/>
          <w:sz w:val="24"/>
          <w:szCs w:val="24"/>
        </w:rPr>
        <w:t>《投资者权益须知</w:t>
      </w:r>
      <w:r>
        <w:rPr>
          <w:rFonts w:ascii="宋体" w:hAnsi="宋体" w:eastAsia="宋体" w:cs="Times New Roman"/>
          <w:sz w:val="24"/>
          <w:szCs w:val="24"/>
        </w:rPr>
        <w:t>》</w:t>
      </w:r>
      <w:r>
        <w:rPr>
          <w:rFonts w:hint="eastAsia" w:ascii="宋体" w:hAnsi="宋体" w:eastAsia="宋体" w:cs="Times New Roman"/>
          <w:sz w:val="24"/>
          <w:szCs w:val="24"/>
        </w:rPr>
        <w:t>。</w:t>
      </w:r>
    </w:p>
    <w:p w14:paraId="0537B9C8">
      <w:pPr>
        <w:pStyle w:val="23997a72"/>
        <w:spacing w:line="312" w:lineRule="auto"/>
        <w:ind w:left="63" w:leftChars="30"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w:t>
      </w:r>
      <w:r>
        <w:rPr>
          <w:rFonts w:hint="eastAsia" w:ascii="宋体" w:hAnsi="宋体" w:eastAsia="宋体" w:cs="Times New Roman"/>
          <w:sz w:val="24"/>
          <w:szCs w:val="24"/>
        </w:rPr>
        <w:t>________（通过</w:t>
      </w:r>
      <w:r>
        <w:rPr>
          <w:rFonts w:ascii="宋体" w:hAnsi="宋体" w:eastAsia="宋体" w:cs="Times New Roman"/>
          <w:sz w:val="24"/>
          <w:szCs w:val="24"/>
        </w:rPr>
        <w:t>代理销售机构</w:t>
      </w:r>
      <w:r>
        <w:rPr>
          <w:rFonts w:hint="eastAsia" w:ascii="宋体" w:hAnsi="宋体" w:eastAsia="宋体" w:cs="Times New Roman"/>
          <w:sz w:val="24"/>
          <w:szCs w:val="24"/>
        </w:rPr>
        <w:t>购买</w:t>
      </w:r>
      <w:r>
        <w:rPr>
          <w:rFonts w:ascii="宋体" w:hAnsi="宋体" w:eastAsia="宋体" w:cs="Times New Roman"/>
          <w:sz w:val="24"/>
          <w:szCs w:val="24"/>
        </w:rPr>
        <w:t>的</w:t>
      </w:r>
      <w:r>
        <w:rPr>
          <w:rFonts w:hint="eastAsia" w:ascii="宋体" w:hAnsi="宋体" w:eastAsia="宋体" w:cs="Times New Roman"/>
          <w:sz w:val="24"/>
          <w:szCs w:val="24"/>
        </w:rPr>
        <w:t>非</w:t>
      </w:r>
      <w:r>
        <w:rPr>
          <w:rFonts w:ascii="宋体" w:hAnsi="宋体" w:eastAsia="宋体" w:cs="Times New Roman"/>
          <w:sz w:val="24"/>
          <w:szCs w:val="24"/>
        </w:rPr>
        <w:t>机构投资者填写）</w:t>
      </w:r>
      <w:r>
        <w:rPr>
          <w:rFonts w:hint="eastAsia" w:ascii="宋体" w:hAnsi="宋体" w:eastAsia="宋体" w:cs="Times New Roman"/>
          <w:sz w:val="24"/>
          <w:szCs w:val="24"/>
        </w:rPr>
        <w:t>，</w:t>
      </w:r>
      <w:r>
        <w:rPr>
          <w:rFonts w:ascii="宋体" w:hAnsi="宋体" w:eastAsia="宋体" w:cs="Times New Roman"/>
          <w:sz w:val="24"/>
          <w:szCs w:val="24"/>
        </w:rPr>
        <w:t>可购买</w:t>
      </w:r>
      <w:r>
        <w:rPr>
          <w:rFonts w:hint="eastAsia" w:ascii="宋体" w:hAnsi="宋体" w:eastAsia="宋体" w:cs="Times New Roman"/>
          <w:sz w:val="24"/>
          <w:szCs w:val="24"/>
        </w:rPr>
        <w:t>与</w:t>
      </w:r>
      <w:r>
        <w:rPr>
          <w:rFonts w:ascii="宋体" w:hAnsi="宋体" w:eastAsia="宋体" w:cs="Times New Roman"/>
          <w:sz w:val="24"/>
          <w:szCs w:val="24"/>
        </w:rPr>
        <w:t>本人风险</w:t>
      </w:r>
      <w:r>
        <w:rPr>
          <w:rFonts w:hint="eastAsia" w:ascii="宋体" w:hAnsi="宋体" w:eastAsia="宋体" w:cs="Times New Roman"/>
          <w:sz w:val="24"/>
          <w:szCs w:val="24"/>
        </w:rPr>
        <w:t>级别</w:t>
      </w:r>
      <w:r>
        <w:rPr>
          <w:rFonts w:ascii="宋体" w:hAnsi="宋体" w:eastAsia="宋体" w:cs="Times New Roman"/>
          <w:sz w:val="24"/>
          <w:szCs w:val="24"/>
        </w:rPr>
        <w:t>相匹配的理财产品，具体</w:t>
      </w:r>
      <w:r>
        <w:rPr>
          <w:rFonts w:hint="eastAsia" w:ascii="宋体" w:hAnsi="宋体" w:eastAsia="宋体" w:cs="Times New Roman"/>
          <w:sz w:val="24"/>
          <w:szCs w:val="24"/>
        </w:rPr>
        <w:t>匹配</w:t>
      </w:r>
      <w:r>
        <w:rPr>
          <w:rFonts w:ascii="宋体" w:hAnsi="宋体" w:eastAsia="宋体" w:cs="Times New Roman"/>
          <w:sz w:val="24"/>
          <w:szCs w:val="24"/>
        </w:rPr>
        <w:t>情况从</w:t>
      </w:r>
      <w:r>
        <w:rPr>
          <w:rFonts w:hint="eastAsia" w:ascii="宋体" w:hAnsi="宋体" w:eastAsia="宋体" w:cs="Times New Roman"/>
          <w:sz w:val="24"/>
          <w:szCs w:val="24"/>
        </w:rPr>
        <w:t>代理销售机构对理财产品风险水平及投资者风险承受能力评估</w:t>
      </w:r>
      <w:r>
        <w:rPr>
          <w:rFonts w:ascii="宋体" w:hAnsi="宋体" w:eastAsia="宋体" w:cs="Times New Roman"/>
          <w:sz w:val="24"/>
          <w:szCs w:val="24"/>
        </w:rPr>
        <w:t>。</w:t>
      </w:r>
    </w:p>
    <w:p w14:paraId="05E6B7D3">
      <w:pPr>
        <w:pStyle w:val="23997a72"/>
        <w:spacing w:line="312" w:lineRule="auto"/>
        <w:ind w:left="63" w:leftChars="30" w:firstLine="480" w:firstLineChars="200"/>
        <w:rPr>
          <w:rFonts w:ascii="宋体" w:hAnsi="宋体" w:eastAsia="宋体" w:cs="Times New Roman"/>
          <w:sz w:val="24"/>
          <w:szCs w:val="24"/>
        </w:rPr>
      </w:pPr>
      <w:r>
        <w:rPr>
          <w:rFonts w:hint="eastAsia" w:ascii="宋体" w:hAnsi="宋体" w:eastAsia="宋体" w:cs="Times New Roman"/>
          <w:sz w:val="24"/>
          <w:szCs w:val="24"/>
        </w:rPr>
        <w:t>2、本人/本机构已经阅读风险揭示书，愿意承担投资风险（在下方横线处抄写本句内容）。</w:t>
      </w:r>
    </w:p>
    <w:p w14:paraId="3E2CF166">
      <w:pPr>
        <w:pStyle w:val="23997a72"/>
        <w:spacing w:line="312" w:lineRule="auto"/>
        <w:ind w:left="63" w:leftChars="30" w:firstLine="480" w:firstLineChars="200"/>
        <w:rPr>
          <w:rFonts w:ascii="宋体" w:hAnsi="宋体" w:eastAsia="宋体" w:cs="Times New Roman"/>
          <w:sz w:val="24"/>
          <w:szCs w:val="24"/>
        </w:rPr>
      </w:pPr>
      <w:r>
        <w:rPr>
          <w:rFonts w:hint="eastAsia" w:ascii="宋体" w:hAnsi="宋体" w:eastAsia="宋体" w:cs="Times New Roman"/>
          <w:sz w:val="24"/>
          <w:szCs w:val="24"/>
        </w:rPr>
        <w:t>______</w:t>
      </w:r>
      <w:r>
        <w:rPr>
          <w:rFonts w:hint="eastAsia" w:ascii="宋体" w:hAnsi="宋体" w:eastAsia="宋体" w:cs="Times New Roman"/>
          <w:sz w:val="24"/>
          <w:szCs w:val="24"/>
          <w:u w:val="single"/>
        </w:rPr>
        <w:t>______</w:t>
      </w:r>
      <w:r>
        <w:rPr>
          <w:rFonts w:ascii="宋体" w:hAnsi="宋体" w:eastAsia="宋体" w:cs="Times New Roman"/>
          <w:sz w:val="24"/>
          <w:szCs w:val="24"/>
          <w:u w:val="single"/>
        </w:rPr>
        <w:t xml:space="preserve">           </w:t>
      </w:r>
      <w:r>
        <w:rPr>
          <w:rFonts w:hint="eastAsia" w:ascii="宋体" w:hAnsi="宋体" w:eastAsia="宋体" w:cs="Times New Roman"/>
          <w:sz w:val="24"/>
          <w:szCs w:val="24"/>
        </w:rPr>
        <w:t>________________________________________</w:t>
      </w:r>
    </w:p>
    <w:p w14:paraId="73D61185">
      <w:pPr>
        <w:pStyle w:val="23997a72"/>
        <w:spacing w:line="312" w:lineRule="auto"/>
        <w:ind w:left="63" w:leftChars="30"/>
        <w:rPr>
          <w:rFonts w:ascii="宋体" w:hAnsi="宋体" w:eastAsia="宋体" w:cs="宋体"/>
          <w:b/>
          <w:bCs/>
          <w:kern w:val="0"/>
          <w:sz w:val="24"/>
          <w:szCs w:val="24"/>
        </w:rPr>
      </w:pPr>
    </w:p>
    <w:p w14:paraId="7EEA1B49">
      <w:pPr>
        <w:pStyle w:val="23997a72"/>
        <w:spacing w:line="312" w:lineRule="auto"/>
        <w:ind w:left="63" w:leftChars="30"/>
        <w:jc w:val="left"/>
        <w:rPr>
          <w:rFonts w:ascii="宋体" w:hAnsi="宋体" w:eastAsia="宋体" w:cs="宋体"/>
          <w:b/>
          <w:bCs/>
          <w:kern w:val="0"/>
          <w:sz w:val="24"/>
          <w:szCs w:val="24"/>
        </w:rPr>
      </w:pPr>
      <w:r>
        <w:rPr>
          <w:rFonts w:hint="eastAsia" w:ascii="宋体" w:hAnsi="宋体" w:eastAsia="宋体" w:cs="宋体"/>
          <w:b/>
          <w:bCs/>
          <w:kern w:val="0"/>
          <w:sz w:val="24"/>
          <w:szCs w:val="24"/>
        </w:rPr>
        <w:t>投资者签字   ____________</w:t>
      </w:r>
    </w:p>
    <w:p w14:paraId="4DC1EDE2">
      <w:pPr>
        <w:pStyle w:val="23997a72"/>
        <w:spacing w:line="312" w:lineRule="auto"/>
        <w:ind w:left="63" w:leftChars="30"/>
        <w:jc w:val="left"/>
        <w:rPr>
          <w:rFonts w:ascii="宋体" w:hAnsi="宋体" w:eastAsia="宋体" w:cs="宋体"/>
          <w:b/>
          <w:bCs/>
          <w:kern w:val="0"/>
          <w:sz w:val="24"/>
          <w:szCs w:val="24"/>
        </w:rPr>
      </w:pPr>
    </w:p>
    <w:p w14:paraId="1ADC2DDC">
      <w:pPr>
        <w:pStyle w:val="23997a72"/>
        <w:spacing w:line="312" w:lineRule="auto"/>
        <w:ind w:left="63" w:leftChars="30"/>
        <w:jc w:val="left"/>
        <w:rPr>
          <w:rFonts w:ascii="宋体" w:hAnsi="宋体" w:eastAsia="宋体" w:cs="宋体"/>
          <w:b/>
          <w:bCs/>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机构投资者</w:t>
      </w:r>
      <w:r>
        <w:rPr>
          <w:rFonts w:hint="eastAsia" w:ascii="宋体" w:hAnsi="宋体" w:eastAsia="宋体" w:cs="宋体"/>
          <w:b/>
          <w:bCs/>
          <w:kern w:val="0"/>
          <w:sz w:val="24"/>
          <w:szCs w:val="24"/>
        </w:rPr>
        <w:t>加</w:t>
      </w:r>
      <w:r>
        <w:rPr>
          <w:rFonts w:ascii="宋体" w:hAnsi="宋体" w:eastAsia="宋体" w:cs="宋体"/>
          <w:b/>
          <w:bCs/>
          <w:kern w:val="0"/>
          <w:sz w:val="24"/>
          <w:szCs w:val="24"/>
        </w:rPr>
        <w:t>盖</w:t>
      </w:r>
      <w:r>
        <w:rPr>
          <w:rFonts w:hint="eastAsia" w:ascii="宋体" w:hAnsi="宋体" w:eastAsia="宋体" w:cs="宋体"/>
          <w:b/>
          <w:bCs/>
          <w:kern w:val="0"/>
          <w:sz w:val="24"/>
          <w:szCs w:val="24"/>
        </w:rPr>
        <w:t>公</w:t>
      </w:r>
      <w:r>
        <w:rPr>
          <w:rFonts w:ascii="宋体" w:hAnsi="宋体" w:eastAsia="宋体" w:cs="宋体"/>
          <w:b/>
          <w:bCs/>
          <w:kern w:val="0"/>
          <w:sz w:val="24"/>
          <w:szCs w:val="24"/>
        </w:rPr>
        <w:t>章）</w:t>
      </w:r>
    </w:p>
    <w:p w14:paraId="07C97856">
      <w:pPr>
        <w:pStyle w:val="23997a72"/>
        <w:spacing w:line="312" w:lineRule="auto"/>
        <w:ind w:left="63" w:leftChars="30"/>
        <w:jc w:val="left"/>
        <w:rPr>
          <w:rFonts w:ascii="宋体" w:hAnsi="宋体" w:eastAsia="宋体" w:cs="宋体"/>
          <w:b/>
          <w:bCs/>
          <w:kern w:val="0"/>
          <w:sz w:val="24"/>
          <w:szCs w:val="24"/>
        </w:rPr>
      </w:pPr>
    </w:p>
    <w:p w14:paraId="2354B1FA">
      <w:pPr>
        <w:pStyle w:val="23997a72"/>
        <w:spacing w:line="312" w:lineRule="auto"/>
        <w:ind w:left="63" w:leftChars="30"/>
        <w:jc w:val="left"/>
        <w:rPr>
          <w:rFonts w:ascii="宋体" w:hAnsi="宋体" w:eastAsia="宋体" w:cs="Times New Roman"/>
          <w:sz w:val="24"/>
          <w:szCs w:val="24"/>
        </w:rPr>
      </w:pPr>
      <w:r>
        <w:rPr>
          <w:rFonts w:hint="eastAsia" w:ascii="宋体" w:hAnsi="宋体" w:eastAsia="宋体" w:cs="宋体"/>
          <w:b/>
          <w:bCs/>
          <w:kern w:val="0"/>
          <w:sz w:val="24"/>
          <w:szCs w:val="24"/>
        </w:rPr>
        <w:t>日期         ____________</w:t>
      </w:r>
    </w:p>
    <w:p w14:paraId="0D0C28B6">
      <w:pPr>
        <w:pStyle w:val="23997a72"/>
        <w:widowControl/>
        <w:jc w:val="left"/>
      </w:pPr>
    </w:p>
    <w:p>
      <w:r>
        <w:br w:type="page"/>
      </w:r>
    </w:p>
    <w:p w14:paraId="2F1EAC91" w14:textId="3B8C28EB" w:rsidR="005E3442" w:rsidRPr="00B5057A" w:rsidRDefault="008F5D4C" w:rsidP="005E3442">
      <w:pPr>
        <w:pStyle w:val="aba8154d"/>
      </w:pPr>
      <w:r>
        <w:rPr>
          <w:rFonts w:hint="eastAsia"/>
        </w:rPr>
        <w:t>宁银理财</w:t>
      </w:r>
      <w:r w:rsidR="007247A8">
        <w:rPr>
          <w:rFonts w:hint="eastAsia"/>
        </w:rPr>
        <w:t>有限责任公司</w:t>
      </w:r>
      <w:r w:rsidR="005E3442">
        <w:t>产品投资者权益须知</w:t>
      </w:r>
    </w:p>
    <w:p w14:paraId="46CF025A" w14:textId="0B0A9551" w:rsidR="005E3442" w:rsidRPr="00B5057A" w:rsidRDefault="005E3442" w:rsidP="005E3442">
      <w:pPr>
        <w:pStyle w:val="0836842b"/>
        <w:spacing w:line="400" w:lineRule="exact"/>
        <w:jc w:val="center"/>
        <w:rPr>
          <w:rFonts w:ascii="宋体" w:eastAsia="宋体" w:hAnsi="宋体" w:cs="Times New Roman"/>
          <w:color w:val="000000"/>
          <w:sz w:val="28"/>
          <w:szCs w:val="28"/>
        </w:rPr>
      </w:pPr>
      <w:r w:rsidRPr="00B5057A">
        <w:rPr>
          <w:rFonts w:ascii="宋体" w:eastAsia="宋体" w:hAnsi="宋体" w:cs="Times New Roman" w:hint="eastAsia"/>
          <w:b/>
          <w:sz w:val="24"/>
          <w:szCs w:val="24"/>
        </w:rPr>
        <w:t>（</w:t>
      </w:r>
      <w:r w:rsidRPr="00B5057A">
        <w:rPr>
          <w:rFonts w:ascii="宋体" w:eastAsia="宋体" w:hAnsi="宋体" w:cs="Times New Roman"/>
          <w:b/>
          <w:sz w:val="24"/>
          <w:szCs w:val="24"/>
        </w:rPr>
        <w:t>202</w:t>
      </w:r>
      <w:r w:rsidR="004D48CC">
        <w:rPr>
          <w:rFonts w:ascii="宋体" w:eastAsia="宋体" w:hAnsi="宋体" w:cs="Times New Roman" w:hint="eastAsia"/>
          <w:b/>
          <w:sz w:val="24"/>
          <w:szCs w:val="24"/>
        </w:rPr>
        <w:t>3</w:t>
      </w:r>
      <w:r w:rsidRPr="00B5057A">
        <w:rPr>
          <w:rFonts w:ascii="宋体" w:eastAsia="宋体" w:hAnsi="宋体" w:cs="Times New Roman"/>
          <w:b/>
          <w:sz w:val="24"/>
          <w:szCs w:val="24"/>
        </w:rPr>
        <w:t>0</w:t>
      </w:r>
      <w:r w:rsidR="007247A8">
        <w:rPr>
          <w:rFonts w:ascii="宋体" w:eastAsia="宋体" w:hAnsi="宋体" w:cs="Times New Roman" w:hint="eastAsia"/>
          <w:b/>
          <w:sz w:val="24"/>
          <w:szCs w:val="24"/>
        </w:rPr>
        <w:t>3</w:t>
      </w:r>
      <w:r w:rsidRPr="00B5057A">
        <w:rPr>
          <w:rFonts w:ascii="宋体" w:eastAsia="宋体" w:hAnsi="宋体" w:cs="Times New Roman" w:hint="eastAsia"/>
          <w:b/>
          <w:sz w:val="24"/>
          <w:szCs w:val="24"/>
        </w:rPr>
        <w:t>版）</w:t>
      </w:r>
    </w:p>
    <w:p w14:paraId="0E9A2212" w14:textId="77777777" w:rsidR="005E3442" w:rsidRPr="00B5057A" w:rsidRDefault="005E3442" w:rsidP="005E3442">
      <w:pPr>
        <w:pStyle w:val="0836842b"/>
        <w:spacing w:line="312" w:lineRule="auto"/>
        <w:rPr>
          <w:rFonts w:ascii="宋体" w:eastAsia="宋体" w:hAnsi="宋体" w:cs="Times New Roman"/>
          <w:color w:val="000000"/>
          <w:sz w:val="24"/>
          <w:szCs w:val="24"/>
        </w:rPr>
      </w:pPr>
    </w:p>
    <w:p w14:paraId="4A19CB2E" w14:textId="77777777" w:rsidR="005E3442" w:rsidRPr="00B5057A" w:rsidRDefault="005E3442" w:rsidP="005E3442">
      <w:pPr>
        <w:pStyle w:val="0836842b"/>
        <w:spacing w:line="312" w:lineRule="auto"/>
        <w:rPr>
          <w:rFonts w:ascii="宋体" w:eastAsia="宋体" w:hAnsi="宋体" w:cs="Times New Roman"/>
          <w:color w:val="000000"/>
          <w:sz w:val="24"/>
          <w:szCs w:val="24"/>
        </w:rPr>
      </w:pPr>
      <w:r w:rsidRPr="00B5057A">
        <w:rPr>
          <w:rFonts w:ascii="宋体" w:eastAsia="宋体" w:hAnsi="宋体" w:cs="Times New Roman" w:hint="eastAsia"/>
          <w:color w:val="000000"/>
          <w:sz w:val="24"/>
          <w:szCs w:val="24"/>
        </w:rPr>
        <w:t>尊敬的投资者：</w:t>
      </w:r>
    </w:p>
    <w:p w14:paraId="5A9477DB" w14:textId="77777777" w:rsidR="005E3442" w:rsidRPr="00B5057A" w:rsidRDefault="005E3442" w:rsidP="005E3442">
      <w:pPr>
        <w:pStyle w:val="0836842b"/>
        <w:spacing w:line="312" w:lineRule="auto"/>
        <w:ind w:firstLineChars="200" w:firstLine="480"/>
        <w:rPr>
          <w:rFonts w:ascii="宋体" w:eastAsia="宋体" w:hAnsi="宋体" w:cs="Times New Roman"/>
          <w:color w:val="000000"/>
          <w:sz w:val="24"/>
          <w:szCs w:val="24"/>
        </w:rPr>
      </w:pPr>
      <w:r w:rsidRPr="00B5057A">
        <w:rPr>
          <w:rFonts w:ascii="宋体" w:eastAsia="宋体" w:hAnsi="宋体" w:cs="Times New Roman" w:hint="eastAsia"/>
          <w:color w:val="000000"/>
          <w:sz w:val="24"/>
          <w:szCs w:val="24"/>
        </w:rPr>
        <w:t>购买宁银理财有限</w:t>
      </w:r>
      <w:r w:rsidRPr="00B5057A">
        <w:rPr>
          <w:rFonts w:ascii="宋体" w:eastAsia="宋体" w:hAnsi="宋体" w:cs="Times New Roman"/>
          <w:color w:val="000000"/>
          <w:sz w:val="24"/>
          <w:szCs w:val="24"/>
        </w:rPr>
        <w:t>责任公司（</w:t>
      </w:r>
      <w:r w:rsidRPr="00B5057A">
        <w:rPr>
          <w:rFonts w:ascii="宋体" w:eastAsia="宋体" w:hAnsi="宋体" w:cs="Times New Roman" w:hint="eastAsia"/>
          <w:color w:val="000000"/>
          <w:sz w:val="24"/>
          <w:szCs w:val="24"/>
        </w:rPr>
        <w:t>下称“宁银理财”或“本公司”</w:t>
      </w:r>
      <w:r w:rsidRPr="00B5057A">
        <w:rPr>
          <w:rFonts w:ascii="宋体" w:eastAsia="宋体" w:hAnsi="宋体" w:cs="Times New Roman"/>
          <w:color w:val="000000"/>
          <w:sz w:val="24"/>
          <w:szCs w:val="24"/>
        </w:rPr>
        <w:t>）</w:t>
      </w:r>
      <w:r w:rsidRPr="00B5057A">
        <w:rPr>
          <w:rFonts w:ascii="宋体" w:eastAsia="宋体" w:hAnsi="宋体" w:cs="Times New Roman" w:hint="eastAsia"/>
          <w:color w:val="000000"/>
          <w:sz w:val="24"/>
          <w:szCs w:val="24"/>
        </w:rPr>
        <w:t>发行的</w:t>
      </w:r>
      <w:r w:rsidRPr="00B5057A">
        <w:rPr>
          <w:rFonts w:ascii="宋体" w:eastAsia="宋体" w:hAnsi="宋体" w:cs="Times New Roman"/>
          <w:color w:val="000000"/>
          <w:sz w:val="24"/>
          <w:szCs w:val="24"/>
        </w:rPr>
        <w:t>理财</w:t>
      </w:r>
      <w:r w:rsidRPr="00B5057A">
        <w:rPr>
          <w:rFonts w:ascii="宋体" w:eastAsia="宋体" w:hAnsi="宋体" w:cs="Times New Roman" w:hint="eastAsia"/>
          <w:color w:val="000000"/>
          <w:sz w:val="24"/>
          <w:szCs w:val="24"/>
        </w:rPr>
        <w:t>产品，有机会获取投资收益，同时也存在一定投资风险，为了保护您的合法权益，请在购买之前认真阅读以下内容：</w:t>
      </w:r>
    </w:p>
    <w:p w14:paraId="0CC6E5BA" w14:textId="77777777" w:rsidR="005E3442" w:rsidRPr="00B5057A" w:rsidRDefault="005E3442" w:rsidP="005E3442">
      <w:pPr>
        <w:pStyle w:val="0836842b"/>
        <w:spacing w:line="312" w:lineRule="auto"/>
        <w:ind w:firstLineChars="200" w:firstLine="482"/>
        <w:rPr>
          <w:rFonts w:ascii="宋体" w:eastAsia="宋体" w:hAnsi="宋体" w:cs="Times New Roman"/>
          <w:b/>
          <w:bCs/>
          <w:color w:val="000000"/>
          <w:sz w:val="24"/>
          <w:szCs w:val="24"/>
        </w:rPr>
      </w:pPr>
      <w:r w:rsidRPr="00B5057A">
        <w:rPr>
          <w:rFonts w:ascii="宋体" w:eastAsia="宋体" w:hAnsi="宋体" w:cs="Times New Roman" w:hint="eastAsia"/>
          <w:b/>
          <w:bCs/>
          <w:color w:val="000000"/>
          <w:sz w:val="24"/>
          <w:szCs w:val="24"/>
        </w:rPr>
        <w:t>一、理财产品办理流程</w:t>
      </w:r>
    </w:p>
    <w:p w14:paraId="4567C9E4" w14:textId="77777777" w:rsidR="005E3442" w:rsidRPr="00B5057A" w:rsidRDefault="005E3442" w:rsidP="005E3442">
      <w:pPr>
        <w:pStyle w:val="0836842b"/>
        <w:spacing w:line="312" w:lineRule="auto"/>
        <w:ind w:firstLineChars="200" w:firstLine="480"/>
        <w:rPr>
          <w:rFonts w:ascii="宋体" w:eastAsia="宋体" w:hAnsi="宋体" w:cs="Times New Roman"/>
          <w:color w:val="000000"/>
          <w:sz w:val="24"/>
          <w:szCs w:val="24"/>
        </w:rPr>
      </w:pPr>
      <w:r w:rsidRPr="00B5057A">
        <w:rPr>
          <w:rFonts w:ascii="宋体" w:eastAsia="宋体" w:hAnsi="宋体" w:cs="Times New Roman" w:hint="eastAsia"/>
          <w:color w:val="000000"/>
          <w:sz w:val="24"/>
          <w:szCs w:val="24"/>
        </w:rPr>
        <w:t>投资者可通过宁银理财或代理销售机构的营业网点</w:t>
      </w:r>
      <w:r w:rsidRPr="00B5057A">
        <w:rPr>
          <w:rFonts w:ascii="宋体" w:eastAsia="宋体" w:hAnsi="宋体" w:cs="Times New Roman"/>
          <w:color w:val="000000"/>
          <w:sz w:val="24"/>
          <w:szCs w:val="24"/>
        </w:rPr>
        <w:t>、</w:t>
      </w:r>
      <w:r w:rsidRPr="00B5057A">
        <w:rPr>
          <w:rFonts w:ascii="宋体" w:eastAsia="宋体" w:hAnsi="宋体" w:cs="Times New Roman" w:hint="eastAsia"/>
          <w:color w:val="000000"/>
          <w:sz w:val="24"/>
          <w:szCs w:val="24"/>
        </w:rPr>
        <w:t>客服</w:t>
      </w:r>
      <w:r w:rsidRPr="00B5057A">
        <w:rPr>
          <w:rFonts w:ascii="宋体" w:eastAsia="宋体" w:hAnsi="宋体" w:cs="Times New Roman"/>
          <w:color w:val="000000"/>
          <w:sz w:val="24"/>
          <w:szCs w:val="24"/>
        </w:rPr>
        <w:t>电话</w:t>
      </w:r>
      <w:r w:rsidRPr="00B5057A">
        <w:rPr>
          <w:rFonts w:ascii="宋体" w:eastAsia="宋体" w:hAnsi="宋体" w:cs="Times New Roman" w:hint="eastAsia"/>
          <w:color w:val="000000"/>
          <w:sz w:val="24"/>
          <w:szCs w:val="24"/>
        </w:rPr>
        <w:t>、电子渠道</w:t>
      </w:r>
      <w:r w:rsidRPr="00B5057A">
        <w:rPr>
          <w:rFonts w:ascii="宋体" w:eastAsia="宋体" w:hAnsi="宋体" w:cs="Times New Roman"/>
          <w:color w:val="000000"/>
          <w:sz w:val="24"/>
          <w:szCs w:val="24"/>
        </w:rPr>
        <w:t>等</w:t>
      </w:r>
      <w:r w:rsidRPr="00B5057A">
        <w:rPr>
          <w:rFonts w:ascii="宋体" w:eastAsia="宋体" w:hAnsi="宋体" w:cs="Times New Roman" w:hint="eastAsia"/>
          <w:color w:val="000000"/>
          <w:sz w:val="24"/>
          <w:szCs w:val="24"/>
        </w:rPr>
        <w:t>途径</w:t>
      </w:r>
      <w:r w:rsidRPr="00B5057A">
        <w:rPr>
          <w:rFonts w:ascii="宋体" w:eastAsia="宋体" w:hAnsi="宋体" w:cs="Times New Roman"/>
          <w:color w:val="000000"/>
          <w:sz w:val="24"/>
          <w:szCs w:val="24"/>
        </w:rPr>
        <w:t>了解</w:t>
      </w:r>
      <w:r w:rsidRPr="00B5057A">
        <w:rPr>
          <w:rFonts w:ascii="宋体" w:eastAsia="宋体" w:hAnsi="宋体" w:cs="Times New Roman" w:hint="eastAsia"/>
          <w:color w:val="000000"/>
          <w:sz w:val="24"/>
          <w:szCs w:val="24"/>
        </w:rPr>
        <w:t>本公司理财产品购买方式、收费标准及方式等，通过《理财产品说明书》</w:t>
      </w:r>
      <w:r w:rsidRPr="00B5057A">
        <w:rPr>
          <w:rFonts w:ascii="宋体" w:eastAsia="宋体" w:hAnsi="宋体" w:cs="Times New Roman"/>
          <w:color w:val="000000"/>
          <w:sz w:val="24"/>
          <w:szCs w:val="24"/>
        </w:rPr>
        <w:t>了解产品要素</w:t>
      </w:r>
      <w:r w:rsidRPr="00B5057A">
        <w:rPr>
          <w:rFonts w:ascii="宋体" w:eastAsia="宋体" w:hAnsi="宋体" w:cs="Times New Roman" w:hint="eastAsia"/>
          <w:color w:val="000000"/>
          <w:sz w:val="24"/>
          <w:szCs w:val="24"/>
        </w:rPr>
        <w:t>。</w:t>
      </w:r>
    </w:p>
    <w:p w14:paraId="39B907F2" w14:textId="77777777" w:rsidR="005E3442" w:rsidRPr="00B5057A" w:rsidRDefault="005E3442" w:rsidP="005E3442">
      <w:pPr>
        <w:pStyle w:val="0836842b"/>
        <w:spacing w:line="312" w:lineRule="auto"/>
        <w:ind w:firstLineChars="200" w:firstLine="480"/>
        <w:rPr>
          <w:rFonts w:ascii="宋体" w:eastAsia="宋体" w:hAnsi="宋体" w:cs="Times New Roman"/>
          <w:color w:val="000000"/>
          <w:sz w:val="24"/>
          <w:szCs w:val="24"/>
        </w:rPr>
      </w:pPr>
      <w:proofErr w:type="gramStart"/>
      <w:r w:rsidRPr="00B5057A">
        <w:rPr>
          <w:rFonts w:ascii="宋体" w:eastAsia="宋体" w:hAnsi="宋体" w:cs="Times New Roman" w:hint="eastAsia"/>
          <w:color w:val="000000"/>
          <w:sz w:val="24"/>
          <w:szCs w:val="24"/>
        </w:rPr>
        <w:t>非机构</w:t>
      </w:r>
      <w:proofErr w:type="gramEnd"/>
      <w:r w:rsidRPr="00B5057A">
        <w:rPr>
          <w:rFonts w:ascii="宋体" w:eastAsia="宋体" w:hAnsi="宋体" w:cs="Times New Roman" w:hint="eastAsia"/>
          <w:color w:val="000000"/>
          <w:sz w:val="24"/>
          <w:szCs w:val="24"/>
        </w:rPr>
        <w:t>投资者在宁银理财直销渠道购买理财产品时，需填写《宁银理财投资者风险承受能力评估书》，了解自身风险承受能力评估情况。</w:t>
      </w:r>
      <w:proofErr w:type="gramStart"/>
      <w:r w:rsidRPr="00B5057A">
        <w:rPr>
          <w:rFonts w:ascii="宋体" w:eastAsia="宋体" w:hAnsi="宋体" w:cs="Times New Roman" w:hint="eastAsia"/>
          <w:color w:val="000000"/>
          <w:sz w:val="24"/>
          <w:szCs w:val="24"/>
        </w:rPr>
        <w:t>非机构</w:t>
      </w:r>
      <w:proofErr w:type="gramEnd"/>
      <w:r w:rsidRPr="00B5057A">
        <w:rPr>
          <w:rFonts w:ascii="宋体" w:eastAsia="宋体" w:hAnsi="宋体" w:cs="Times New Roman" w:hint="eastAsia"/>
          <w:color w:val="000000"/>
          <w:sz w:val="24"/>
          <w:szCs w:val="24"/>
        </w:rPr>
        <w:t>投资者在代理销售机构购买理财产品时，风险承受能力评估由代理销售机构负责，应按照代理销售机构的要求进行投资者风险承受能力评估。</w:t>
      </w:r>
    </w:p>
    <w:p w14:paraId="0A7299C5" w14:textId="023CA252" w:rsidR="005E3442" w:rsidRPr="00B5057A" w:rsidRDefault="005E3442" w:rsidP="005E3442">
      <w:pPr>
        <w:pStyle w:val="0836842b"/>
        <w:spacing w:line="312" w:lineRule="auto"/>
        <w:ind w:firstLineChars="200" w:firstLine="480"/>
        <w:rPr>
          <w:rFonts w:ascii="宋体" w:eastAsia="宋体" w:hAnsi="宋体" w:cs="Times New Roman"/>
          <w:color w:val="000000"/>
          <w:sz w:val="24"/>
          <w:szCs w:val="24"/>
        </w:rPr>
      </w:pPr>
      <w:r w:rsidRPr="00B5057A">
        <w:rPr>
          <w:rFonts w:ascii="宋体" w:eastAsia="宋体" w:hAnsi="宋体" w:cs="Times New Roman" w:hint="eastAsia"/>
          <w:color w:val="000000"/>
          <w:sz w:val="24"/>
          <w:szCs w:val="24"/>
        </w:rPr>
        <w:t>在</w:t>
      </w:r>
      <w:r w:rsidRPr="00B5057A">
        <w:rPr>
          <w:rFonts w:ascii="宋体" w:eastAsia="宋体" w:hAnsi="宋体" w:cs="Times New Roman"/>
          <w:color w:val="000000"/>
          <w:sz w:val="24"/>
          <w:szCs w:val="24"/>
        </w:rPr>
        <w:t>决定购买前，</w:t>
      </w:r>
      <w:r w:rsidRPr="00B5057A">
        <w:rPr>
          <w:rFonts w:ascii="宋体" w:eastAsia="宋体" w:hAnsi="宋体" w:cs="Times New Roman" w:hint="eastAsia"/>
          <w:color w:val="000000"/>
          <w:sz w:val="24"/>
          <w:szCs w:val="24"/>
        </w:rPr>
        <w:t>投资者</w:t>
      </w:r>
      <w:r w:rsidRPr="00B5057A">
        <w:rPr>
          <w:rFonts w:ascii="宋体" w:eastAsia="宋体" w:hAnsi="宋体" w:cs="Times New Roman"/>
          <w:color w:val="000000"/>
          <w:sz w:val="24"/>
          <w:szCs w:val="24"/>
        </w:rPr>
        <w:t>还需</w:t>
      </w:r>
      <w:r w:rsidRPr="00B5057A">
        <w:rPr>
          <w:rFonts w:ascii="宋体" w:eastAsia="宋体" w:hAnsi="宋体" w:cs="Times New Roman" w:hint="eastAsia"/>
          <w:color w:val="000000"/>
          <w:sz w:val="24"/>
          <w:szCs w:val="24"/>
        </w:rPr>
        <w:t>阅读并签署具体理财产品销售文件，包括但不限于《理财产品说明书》、《风险揭示书》、《销售（代理销售）协议书》</w:t>
      </w:r>
      <w:r w:rsidR="007247A8" w:rsidRPr="007247A8">
        <w:rPr>
          <w:rFonts w:ascii="宋体" w:eastAsia="宋体" w:hAnsi="宋体" w:cs="Times New Roman" w:hint="eastAsia"/>
          <w:color w:val="000000"/>
          <w:sz w:val="24"/>
          <w:szCs w:val="24"/>
        </w:rPr>
        <w:t>（通过代理销售机构销售的，文件具体名称以代理销售机构为准，下同）</w:t>
      </w:r>
      <w:r w:rsidRPr="00B5057A">
        <w:rPr>
          <w:rFonts w:ascii="宋体" w:eastAsia="宋体" w:hAnsi="宋体" w:cs="Times New Roman" w:hint="eastAsia"/>
          <w:color w:val="000000"/>
          <w:sz w:val="24"/>
          <w:szCs w:val="24"/>
        </w:rPr>
        <w:t>、《投资协议书》、《投资者权益须知》，并抄录风险确认语句。</w:t>
      </w:r>
    </w:p>
    <w:p w14:paraId="6981DFA6" w14:textId="77777777" w:rsidR="005E3442" w:rsidRPr="00B5057A" w:rsidRDefault="005E3442" w:rsidP="005E3442">
      <w:pPr>
        <w:pStyle w:val="0836842b"/>
        <w:spacing w:line="312" w:lineRule="auto"/>
        <w:ind w:firstLineChars="200" w:firstLine="482"/>
        <w:rPr>
          <w:rFonts w:ascii="宋体" w:eastAsia="宋体" w:hAnsi="宋体" w:cs="Times New Roman"/>
          <w:b/>
          <w:bCs/>
          <w:color w:val="000000"/>
          <w:sz w:val="24"/>
          <w:szCs w:val="24"/>
        </w:rPr>
      </w:pPr>
      <w:r w:rsidRPr="00B5057A">
        <w:rPr>
          <w:rFonts w:ascii="宋体" w:eastAsia="宋体" w:hAnsi="宋体" w:cs="Times New Roman" w:hint="eastAsia"/>
          <w:b/>
          <w:bCs/>
          <w:color w:val="000000"/>
          <w:sz w:val="24"/>
          <w:szCs w:val="24"/>
        </w:rPr>
        <w:t>二、</w:t>
      </w:r>
      <w:proofErr w:type="gramStart"/>
      <w:r w:rsidRPr="00B5057A">
        <w:rPr>
          <w:rFonts w:ascii="宋体" w:eastAsia="宋体" w:hAnsi="宋体" w:cs="Times New Roman" w:hint="eastAsia"/>
          <w:b/>
          <w:bCs/>
          <w:color w:val="000000"/>
          <w:sz w:val="24"/>
          <w:szCs w:val="24"/>
        </w:rPr>
        <w:t>非机构</w:t>
      </w:r>
      <w:proofErr w:type="gramEnd"/>
      <w:r w:rsidRPr="00B5057A">
        <w:rPr>
          <w:rFonts w:ascii="宋体" w:eastAsia="宋体" w:hAnsi="宋体" w:cs="Times New Roman" w:hint="eastAsia"/>
          <w:b/>
          <w:bCs/>
          <w:color w:val="000000"/>
          <w:sz w:val="24"/>
          <w:szCs w:val="24"/>
        </w:rPr>
        <w:t>投资者风险承受能力评估</w:t>
      </w:r>
    </w:p>
    <w:p w14:paraId="366DCF47" w14:textId="77777777" w:rsidR="005E3442" w:rsidRPr="00B5057A" w:rsidRDefault="005E3442" w:rsidP="005E3442">
      <w:pPr>
        <w:pStyle w:val="0836842b"/>
        <w:spacing w:line="312" w:lineRule="auto"/>
        <w:ind w:firstLineChars="200" w:firstLine="480"/>
        <w:rPr>
          <w:rFonts w:ascii="宋体" w:eastAsia="宋体" w:hAnsi="宋体" w:cs="Times New Roman"/>
          <w:color w:val="000000"/>
          <w:sz w:val="24"/>
          <w:szCs w:val="24"/>
        </w:rPr>
      </w:pPr>
      <w:proofErr w:type="gramStart"/>
      <w:r w:rsidRPr="00B5057A">
        <w:rPr>
          <w:rFonts w:ascii="宋体" w:eastAsia="宋体" w:hAnsi="宋体" w:cs="Times New Roman" w:hint="eastAsia"/>
          <w:color w:val="000000"/>
          <w:sz w:val="24"/>
          <w:szCs w:val="24"/>
        </w:rPr>
        <w:t>非机构</w:t>
      </w:r>
      <w:proofErr w:type="gramEnd"/>
      <w:r w:rsidRPr="00B5057A">
        <w:rPr>
          <w:rFonts w:ascii="宋体" w:eastAsia="宋体" w:hAnsi="宋体" w:cs="Times New Roman" w:hint="eastAsia"/>
          <w:color w:val="000000"/>
          <w:sz w:val="24"/>
          <w:szCs w:val="24"/>
        </w:rPr>
        <w:t>投资者在宁银理财或代理销售机构首次购买理财产品前，需进行风险承受能力评估。超过</w:t>
      </w:r>
      <w:r w:rsidRPr="00B5057A">
        <w:rPr>
          <w:rFonts w:ascii="宋体" w:eastAsia="宋体" w:hAnsi="宋体" w:cs="Times New Roman"/>
          <w:color w:val="000000"/>
          <w:sz w:val="24"/>
          <w:szCs w:val="24"/>
        </w:rPr>
        <w:t>一年未进行风险承受能力</w:t>
      </w:r>
      <w:r w:rsidRPr="00B5057A">
        <w:rPr>
          <w:rFonts w:ascii="宋体" w:eastAsia="宋体" w:hAnsi="宋体" w:cs="Times New Roman" w:hint="eastAsia"/>
          <w:color w:val="000000"/>
          <w:sz w:val="24"/>
          <w:szCs w:val="24"/>
        </w:rPr>
        <w:t>评估或</w:t>
      </w:r>
      <w:r w:rsidRPr="00B5057A">
        <w:rPr>
          <w:rFonts w:ascii="宋体" w:eastAsia="宋体" w:hAnsi="宋体" w:cs="Times New Roman"/>
          <w:color w:val="000000"/>
          <w:sz w:val="24"/>
          <w:szCs w:val="24"/>
        </w:rPr>
        <w:t>发生可能影响自身风险承受能力情况的投资者，再次购买理财产品前，应当</w:t>
      </w:r>
      <w:r w:rsidRPr="00B5057A">
        <w:rPr>
          <w:rFonts w:ascii="宋体" w:eastAsia="宋体" w:hAnsi="宋体" w:cs="Times New Roman" w:hint="eastAsia"/>
          <w:color w:val="000000"/>
          <w:sz w:val="24"/>
          <w:szCs w:val="24"/>
        </w:rPr>
        <w:t>在宁银理财或代理销售机构重新完成</w:t>
      </w:r>
      <w:r w:rsidRPr="00B5057A">
        <w:rPr>
          <w:rFonts w:ascii="宋体" w:eastAsia="宋体" w:hAnsi="宋体" w:cs="Times New Roman"/>
          <w:color w:val="000000"/>
          <w:sz w:val="24"/>
          <w:szCs w:val="24"/>
        </w:rPr>
        <w:t>风险承受能力评估。</w:t>
      </w:r>
    </w:p>
    <w:p w14:paraId="2DB5A6D1" w14:textId="77777777" w:rsidR="005E3442" w:rsidRPr="00B5057A" w:rsidRDefault="005E3442" w:rsidP="005E3442">
      <w:pPr>
        <w:pStyle w:val="0836842b"/>
        <w:spacing w:line="312" w:lineRule="auto"/>
        <w:ind w:firstLineChars="200" w:firstLine="480"/>
        <w:rPr>
          <w:rFonts w:ascii="宋体" w:eastAsia="宋体" w:hAnsi="宋体" w:cs="Times New Roman"/>
          <w:color w:val="000000"/>
          <w:sz w:val="24"/>
          <w:szCs w:val="24"/>
        </w:rPr>
      </w:pPr>
      <w:r w:rsidRPr="00B5057A">
        <w:rPr>
          <w:rFonts w:ascii="宋体" w:eastAsia="宋体" w:hAnsi="宋体" w:cs="Times New Roman" w:hint="eastAsia"/>
          <w:color w:val="000000"/>
          <w:sz w:val="24"/>
          <w:szCs w:val="24"/>
        </w:rPr>
        <w:t>对于</w:t>
      </w:r>
      <w:r w:rsidRPr="00B5057A">
        <w:rPr>
          <w:rFonts w:ascii="宋体" w:eastAsia="宋体" w:hAnsi="宋体" w:cs="Times New Roman"/>
          <w:color w:val="000000"/>
          <w:sz w:val="24"/>
          <w:szCs w:val="24"/>
        </w:rPr>
        <w:t>通过</w:t>
      </w:r>
      <w:r w:rsidRPr="00B5057A">
        <w:rPr>
          <w:rFonts w:ascii="宋体" w:eastAsia="宋体" w:hAnsi="宋体" w:cs="Times New Roman" w:hint="eastAsia"/>
          <w:color w:val="000000"/>
          <w:sz w:val="24"/>
          <w:szCs w:val="24"/>
        </w:rPr>
        <w:t>《宁银理财投资者风险承受能力评估书》进行</w:t>
      </w:r>
      <w:r w:rsidRPr="00B5057A">
        <w:rPr>
          <w:rFonts w:ascii="宋体" w:eastAsia="宋体" w:hAnsi="宋体" w:cs="Times New Roman"/>
          <w:color w:val="000000"/>
          <w:sz w:val="24"/>
          <w:szCs w:val="24"/>
        </w:rPr>
        <w:t>风险</w:t>
      </w:r>
      <w:r w:rsidRPr="00B5057A">
        <w:rPr>
          <w:rFonts w:ascii="宋体" w:eastAsia="宋体" w:hAnsi="宋体" w:cs="Times New Roman" w:hint="eastAsia"/>
          <w:color w:val="000000"/>
          <w:sz w:val="24"/>
          <w:szCs w:val="24"/>
        </w:rPr>
        <w:t>承受</w:t>
      </w:r>
      <w:r w:rsidRPr="00B5057A">
        <w:rPr>
          <w:rFonts w:ascii="宋体" w:eastAsia="宋体" w:hAnsi="宋体" w:cs="Times New Roman"/>
          <w:color w:val="000000"/>
          <w:sz w:val="24"/>
          <w:szCs w:val="24"/>
        </w:rPr>
        <w:t>能力评估的投资者，</w:t>
      </w:r>
      <w:r w:rsidRPr="00B5057A">
        <w:rPr>
          <w:rFonts w:ascii="宋体" w:eastAsia="宋体" w:hAnsi="宋体" w:cs="Times New Roman" w:hint="eastAsia"/>
          <w:color w:val="000000"/>
          <w:sz w:val="24"/>
          <w:szCs w:val="24"/>
        </w:rPr>
        <w:t>风险承受能力可分为5级，由低至高分别为保守型（可以</w:t>
      </w:r>
      <w:proofErr w:type="gramStart"/>
      <w:r w:rsidRPr="00B5057A">
        <w:rPr>
          <w:rFonts w:ascii="宋体" w:eastAsia="宋体" w:hAnsi="宋体" w:cs="Times New Roman" w:hint="eastAsia"/>
          <w:color w:val="000000"/>
          <w:sz w:val="24"/>
          <w:szCs w:val="24"/>
        </w:rPr>
        <w:t>承担低</w:t>
      </w:r>
      <w:proofErr w:type="gramEnd"/>
      <w:r w:rsidRPr="00B5057A">
        <w:rPr>
          <w:rFonts w:ascii="宋体" w:eastAsia="宋体" w:hAnsi="宋体" w:cs="Times New Roman" w:hint="eastAsia"/>
          <w:color w:val="000000"/>
          <w:sz w:val="24"/>
          <w:szCs w:val="24"/>
        </w:rPr>
        <w:t>风险而作风谨慎类型的投资者</w:t>
      </w:r>
      <w:r w:rsidRPr="00B5057A">
        <w:rPr>
          <w:rFonts w:ascii="宋体" w:eastAsia="宋体" w:hAnsi="宋体" w:cs="Times New Roman"/>
          <w:color w:val="000000"/>
          <w:sz w:val="24"/>
          <w:szCs w:val="24"/>
        </w:rPr>
        <w:t>）</w:t>
      </w:r>
      <w:r w:rsidRPr="00B5057A">
        <w:rPr>
          <w:rFonts w:ascii="宋体" w:eastAsia="宋体" w:hAnsi="宋体" w:cs="Times New Roman" w:hint="eastAsia"/>
          <w:color w:val="000000"/>
          <w:sz w:val="24"/>
          <w:szCs w:val="24"/>
        </w:rPr>
        <w:t>、稳健型（可以承担低至中低风险类型的投资者</w:t>
      </w:r>
      <w:r w:rsidRPr="00B5057A">
        <w:rPr>
          <w:rFonts w:ascii="宋体" w:eastAsia="宋体" w:hAnsi="宋体" w:cs="Times New Roman"/>
          <w:color w:val="000000"/>
          <w:sz w:val="24"/>
          <w:szCs w:val="24"/>
        </w:rPr>
        <w:t>）</w:t>
      </w:r>
      <w:r w:rsidRPr="00B5057A">
        <w:rPr>
          <w:rFonts w:ascii="宋体" w:eastAsia="宋体" w:hAnsi="宋体" w:cs="Times New Roman" w:hint="eastAsia"/>
          <w:color w:val="000000"/>
          <w:sz w:val="24"/>
          <w:szCs w:val="24"/>
        </w:rPr>
        <w:t>、平衡型（可以承担中等风险类型的投资者</w:t>
      </w:r>
      <w:r w:rsidRPr="00B5057A">
        <w:rPr>
          <w:rFonts w:ascii="宋体" w:eastAsia="宋体" w:hAnsi="宋体" w:cs="Times New Roman"/>
          <w:color w:val="000000"/>
          <w:sz w:val="24"/>
          <w:szCs w:val="24"/>
        </w:rPr>
        <w:t>）</w:t>
      </w:r>
      <w:r w:rsidRPr="00B5057A">
        <w:rPr>
          <w:rFonts w:ascii="宋体" w:eastAsia="宋体" w:hAnsi="宋体" w:cs="Times New Roman" w:hint="eastAsia"/>
          <w:color w:val="000000"/>
          <w:sz w:val="24"/>
          <w:szCs w:val="24"/>
        </w:rPr>
        <w:t>、成长型（可以承担中等至中高风险类型的投资者</w:t>
      </w:r>
      <w:r w:rsidRPr="00B5057A">
        <w:rPr>
          <w:rFonts w:ascii="宋体" w:eastAsia="宋体" w:hAnsi="宋体" w:cs="Times New Roman"/>
          <w:color w:val="000000"/>
          <w:sz w:val="24"/>
          <w:szCs w:val="24"/>
        </w:rPr>
        <w:t>）</w:t>
      </w:r>
      <w:r w:rsidRPr="00B5057A">
        <w:rPr>
          <w:rFonts w:ascii="宋体" w:eastAsia="宋体" w:hAnsi="宋体" w:cs="Times New Roman" w:hint="eastAsia"/>
          <w:color w:val="000000"/>
          <w:sz w:val="24"/>
          <w:szCs w:val="24"/>
        </w:rPr>
        <w:t>、进取型（可以承受高风险类型的投资者</w:t>
      </w:r>
      <w:r w:rsidRPr="00B5057A">
        <w:rPr>
          <w:rFonts w:ascii="宋体" w:eastAsia="宋体" w:hAnsi="宋体" w:cs="Times New Roman"/>
          <w:color w:val="000000"/>
          <w:sz w:val="24"/>
          <w:szCs w:val="24"/>
        </w:rPr>
        <w:t>）</w:t>
      </w:r>
      <w:r w:rsidRPr="00B5057A">
        <w:rPr>
          <w:rFonts w:ascii="宋体" w:eastAsia="宋体" w:hAnsi="宋体" w:cs="Times New Roman" w:hint="eastAsia"/>
          <w:color w:val="000000"/>
          <w:sz w:val="24"/>
          <w:szCs w:val="24"/>
        </w:rPr>
        <w:t>。投资者应购买与本人风险级别相匹配的理财产品，匹配</w:t>
      </w:r>
      <w:r w:rsidRPr="00B5057A">
        <w:rPr>
          <w:rFonts w:ascii="宋体" w:eastAsia="宋体" w:hAnsi="宋体" w:cs="Times New Roman"/>
          <w:color w:val="000000"/>
          <w:sz w:val="24"/>
          <w:szCs w:val="24"/>
        </w:rPr>
        <w:t>情况见下表：</w:t>
      </w:r>
    </w:p>
    <w:tbl>
      <w:tblPr>
        <w:tblStyle w:val="307e2cb7"/>
        <w:tblW w:w="8364" w:type="dxa"/>
        <w:tblInd w:w="-5" w:type="dxa"/>
        <w:tblLook w:val="04A0" w:firstRow="1" w:lastRow="0" w:firstColumn="1" w:lastColumn="0" w:noHBand="0" w:noVBand="1"/>
      </w:tblPr>
      <w:tblGrid>
        <w:gridCol w:w="1418"/>
        <w:gridCol w:w="4252"/>
        <w:gridCol w:w="2694"/>
      </w:tblGrid>
      <w:tr w:rsidR="005E3442" w:rsidRPr="00B5057A" w14:paraId="3CAC7B9E" w14:textId="77777777" w:rsidTr="00C40B4B">
        <w:tc>
          <w:tcPr>
            <w:tcW w:w="1418" w:type="dxa"/>
          </w:tcPr>
          <w:p w14:paraId="2CCD7977" w14:textId="77777777" w:rsidR="005E3442" w:rsidRPr="00B5057A" w:rsidRDefault="005E3442" w:rsidP="00C40B4B">
            <w:pPr>
              <w:spacing w:line="312" w:lineRule="auto"/>
              <w:rPr>
                <w:rFonts w:ascii="宋体" w:hAnsi="宋体"/>
                <w:color w:val="000000"/>
                <w:szCs w:val="21"/>
              </w:rPr>
            </w:pPr>
            <w:r w:rsidRPr="00B5057A">
              <w:rPr>
                <w:rFonts w:ascii="宋体" w:hAnsi="宋体" w:hint="eastAsia"/>
                <w:color w:val="000000"/>
                <w:szCs w:val="21"/>
              </w:rPr>
              <w:t>产品风险等级</w:t>
            </w:r>
          </w:p>
        </w:tc>
        <w:tc>
          <w:tcPr>
            <w:tcW w:w="4252" w:type="dxa"/>
          </w:tcPr>
          <w:p w14:paraId="61B9A664" w14:textId="77777777" w:rsidR="005E3442" w:rsidRPr="00B5057A" w:rsidRDefault="005E3442" w:rsidP="00C40B4B">
            <w:pPr>
              <w:spacing w:line="312" w:lineRule="auto"/>
              <w:rPr>
                <w:rFonts w:ascii="宋体" w:hAnsi="宋体"/>
                <w:color w:val="000000"/>
                <w:szCs w:val="21"/>
              </w:rPr>
            </w:pPr>
            <w:r w:rsidRPr="00B5057A">
              <w:rPr>
                <w:rFonts w:ascii="宋体" w:hAnsi="宋体" w:hint="eastAsia"/>
                <w:color w:val="000000"/>
                <w:szCs w:val="21"/>
              </w:rPr>
              <w:t>产品</w:t>
            </w:r>
            <w:r w:rsidRPr="00B5057A">
              <w:rPr>
                <w:rFonts w:ascii="宋体" w:hAnsi="宋体"/>
                <w:color w:val="000000"/>
                <w:szCs w:val="21"/>
              </w:rPr>
              <w:t>风险</w:t>
            </w:r>
            <w:r w:rsidRPr="00B5057A">
              <w:rPr>
                <w:rFonts w:ascii="宋体" w:hAnsi="宋体" w:hint="eastAsia"/>
                <w:color w:val="000000"/>
                <w:szCs w:val="21"/>
              </w:rPr>
              <w:t>评级说明</w:t>
            </w:r>
          </w:p>
        </w:tc>
        <w:tc>
          <w:tcPr>
            <w:tcW w:w="2694" w:type="dxa"/>
          </w:tcPr>
          <w:p w14:paraId="2A313434" w14:textId="77777777" w:rsidR="005E3442" w:rsidRPr="00B5057A" w:rsidRDefault="005E3442" w:rsidP="00C40B4B">
            <w:pPr>
              <w:spacing w:line="312" w:lineRule="auto"/>
              <w:rPr>
                <w:rFonts w:ascii="宋体" w:hAnsi="宋体"/>
                <w:color w:val="000000"/>
                <w:szCs w:val="21"/>
              </w:rPr>
            </w:pPr>
            <w:r w:rsidRPr="00B5057A">
              <w:rPr>
                <w:rFonts w:ascii="宋体" w:hAnsi="宋体" w:hint="eastAsia"/>
                <w:color w:val="000000"/>
                <w:szCs w:val="21"/>
              </w:rPr>
              <w:t>目标投资者</w:t>
            </w:r>
          </w:p>
        </w:tc>
      </w:tr>
      <w:tr w:rsidR="005E3442" w:rsidRPr="00B5057A" w14:paraId="29B22180" w14:textId="77777777" w:rsidTr="00C40B4B">
        <w:tc>
          <w:tcPr>
            <w:tcW w:w="1418" w:type="dxa"/>
          </w:tcPr>
          <w:p w14:paraId="400F363D" w14:textId="77777777" w:rsidR="005E3442" w:rsidRPr="00B5057A" w:rsidRDefault="005E3442" w:rsidP="00C40B4B">
            <w:pPr>
              <w:spacing w:line="312" w:lineRule="auto"/>
              <w:rPr>
                <w:rFonts w:ascii="宋体" w:hAnsi="宋体"/>
                <w:color w:val="000000"/>
                <w:szCs w:val="21"/>
              </w:rPr>
            </w:pPr>
            <w:r w:rsidRPr="00B5057A">
              <w:rPr>
                <w:rFonts w:ascii="宋体" w:hAnsi="宋体" w:hint="eastAsia"/>
                <w:color w:val="000000"/>
                <w:szCs w:val="21"/>
              </w:rPr>
              <w:t>低风险产品</w:t>
            </w:r>
          </w:p>
          <w:p w14:paraId="22A093D6" w14:textId="77777777" w:rsidR="005E3442" w:rsidRPr="00B5057A" w:rsidRDefault="005E3442" w:rsidP="00C40B4B">
            <w:pPr>
              <w:spacing w:line="312" w:lineRule="auto"/>
              <w:rPr>
                <w:rFonts w:ascii="宋体" w:hAnsi="宋体"/>
                <w:color w:val="000000"/>
                <w:szCs w:val="21"/>
              </w:rPr>
            </w:pPr>
            <w:r w:rsidRPr="00B5057A">
              <w:rPr>
                <w:rFonts w:ascii="宋体" w:hAnsi="宋体" w:hint="eastAsia"/>
                <w:color w:val="000000"/>
                <w:szCs w:val="21"/>
              </w:rPr>
              <w:lastRenderedPageBreak/>
              <w:t>（</w:t>
            </w:r>
            <w:r w:rsidRPr="00B5057A">
              <w:rPr>
                <w:rFonts w:ascii="宋体" w:hAnsi="宋体"/>
                <w:color w:val="000000"/>
                <w:szCs w:val="21"/>
              </w:rPr>
              <w:t>PR1</w:t>
            </w:r>
            <w:r w:rsidRPr="00B5057A">
              <w:rPr>
                <w:rFonts w:ascii="宋体" w:hAnsi="宋体" w:hint="eastAsia"/>
                <w:color w:val="000000"/>
                <w:szCs w:val="21"/>
              </w:rPr>
              <w:t>）</w:t>
            </w:r>
          </w:p>
        </w:tc>
        <w:tc>
          <w:tcPr>
            <w:tcW w:w="4252" w:type="dxa"/>
          </w:tcPr>
          <w:p w14:paraId="05542BC6" w14:textId="77777777" w:rsidR="005E3442" w:rsidRPr="00B5057A" w:rsidRDefault="005E3442" w:rsidP="00C40B4B">
            <w:pPr>
              <w:spacing w:line="312" w:lineRule="auto"/>
              <w:rPr>
                <w:rFonts w:ascii="宋体" w:hAnsi="宋体"/>
                <w:color w:val="000000"/>
                <w:szCs w:val="21"/>
              </w:rPr>
            </w:pPr>
            <w:r w:rsidRPr="00B5057A">
              <w:rPr>
                <w:rFonts w:ascii="宋体" w:hAnsi="宋体" w:hint="eastAsia"/>
                <w:color w:val="000000"/>
                <w:szCs w:val="21"/>
              </w:rPr>
              <w:lastRenderedPageBreak/>
              <w:t>理财产品的总体风险程度很低，宁银理财不承</w:t>
            </w:r>
            <w:r w:rsidRPr="00B5057A">
              <w:rPr>
                <w:rFonts w:ascii="宋体" w:hAnsi="宋体" w:hint="eastAsia"/>
                <w:color w:val="000000"/>
                <w:szCs w:val="21"/>
              </w:rPr>
              <w:lastRenderedPageBreak/>
              <w:t>诺本金的完全保障，净值波动很小。宁银理财对于产品本金的正常兑付有较为充分的把握。</w:t>
            </w:r>
          </w:p>
        </w:tc>
        <w:tc>
          <w:tcPr>
            <w:tcW w:w="2694" w:type="dxa"/>
          </w:tcPr>
          <w:p w14:paraId="091FF2CC" w14:textId="77777777" w:rsidR="005E3442" w:rsidRPr="00B5057A" w:rsidRDefault="005E3442" w:rsidP="00C40B4B">
            <w:pPr>
              <w:spacing w:line="312" w:lineRule="auto"/>
              <w:rPr>
                <w:rFonts w:ascii="宋体" w:eastAsia="仿宋_GB2312" w:hAnsi="宋体" w:cs="仿宋_GB2312"/>
                <w:color w:val="000000"/>
                <w:szCs w:val="21"/>
              </w:rPr>
            </w:pPr>
            <w:r w:rsidRPr="00B5057A">
              <w:rPr>
                <w:rFonts w:ascii="宋体" w:hAnsi="宋体" w:hint="eastAsia"/>
                <w:color w:val="000000"/>
                <w:szCs w:val="21"/>
              </w:rPr>
              <w:lastRenderedPageBreak/>
              <w:t>经宁银理财</w:t>
            </w:r>
            <w:proofErr w:type="gramStart"/>
            <w:r w:rsidRPr="00B5057A">
              <w:rPr>
                <w:rFonts w:ascii="宋体" w:hAnsi="宋体" w:hint="eastAsia"/>
                <w:color w:val="000000"/>
                <w:szCs w:val="21"/>
              </w:rPr>
              <w:t>非机构</w:t>
            </w:r>
            <w:proofErr w:type="gramEnd"/>
            <w:r w:rsidRPr="00B5057A">
              <w:rPr>
                <w:rFonts w:ascii="宋体" w:hAnsi="宋体" w:hint="eastAsia"/>
                <w:color w:val="000000"/>
                <w:szCs w:val="21"/>
              </w:rPr>
              <w:t>投资者风</w:t>
            </w:r>
            <w:r w:rsidRPr="00B5057A">
              <w:rPr>
                <w:rFonts w:ascii="宋体" w:hAnsi="宋体" w:hint="eastAsia"/>
                <w:color w:val="000000"/>
                <w:szCs w:val="21"/>
              </w:rPr>
              <w:lastRenderedPageBreak/>
              <w:t>险承受能力评估为保守型、稳健型、平衡型、成长型、进取型的投资者</w:t>
            </w:r>
          </w:p>
        </w:tc>
      </w:tr>
      <w:tr w:rsidR="005E3442" w:rsidRPr="00B5057A" w14:paraId="4B9458CA" w14:textId="77777777" w:rsidTr="00C40B4B">
        <w:tc>
          <w:tcPr>
            <w:tcW w:w="1418" w:type="dxa"/>
          </w:tcPr>
          <w:p w14:paraId="31BBF77A" w14:textId="77777777" w:rsidR="005E3442" w:rsidRPr="00B5057A" w:rsidRDefault="005E3442" w:rsidP="00C40B4B">
            <w:pPr>
              <w:spacing w:line="312" w:lineRule="auto"/>
              <w:rPr>
                <w:rFonts w:ascii="宋体" w:hAnsi="宋体"/>
                <w:color w:val="000000"/>
                <w:szCs w:val="21"/>
              </w:rPr>
            </w:pPr>
            <w:r w:rsidRPr="00B5057A">
              <w:rPr>
                <w:rFonts w:ascii="宋体" w:hAnsi="宋体" w:hint="eastAsia"/>
                <w:color w:val="000000"/>
                <w:szCs w:val="21"/>
              </w:rPr>
              <w:lastRenderedPageBreak/>
              <w:t>中低风险产品（</w:t>
            </w:r>
            <w:r w:rsidRPr="00B5057A">
              <w:rPr>
                <w:rFonts w:ascii="宋体" w:hAnsi="宋体"/>
                <w:color w:val="000000"/>
                <w:szCs w:val="21"/>
              </w:rPr>
              <w:t>PR2</w:t>
            </w:r>
            <w:r w:rsidRPr="00B5057A">
              <w:rPr>
                <w:rFonts w:ascii="宋体" w:hAnsi="宋体" w:hint="eastAsia"/>
                <w:color w:val="000000"/>
                <w:szCs w:val="21"/>
              </w:rPr>
              <w:t>）</w:t>
            </w:r>
          </w:p>
        </w:tc>
        <w:tc>
          <w:tcPr>
            <w:tcW w:w="4252" w:type="dxa"/>
          </w:tcPr>
          <w:p w14:paraId="1311E435" w14:textId="77777777" w:rsidR="005E3442" w:rsidRPr="00B5057A" w:rsidRDefault="005E3442" w:rsidP="00C40B4B">
            <w:pPr>
              <w:spacing w:line="312" w:lineRule="auto"/>
              <w:rPr>
                <w:rFonts w:ascii="宋体" w:hAnsi="宋体"/>
                <w:color w:val="000000"/>
                <w:szCs w:val="21"/>
              </w:rPr>
            </w:pPr>
            <w:r w:rsidRPr="00B5057A">
              <w:rPr>
                <w:rFonts w:ascii="宋体" w:hAnsi="宋体" w:hint="eastAsia"/>
                <w:color w:val="000000"/>
                <w:szCs w:val="21"/>
              </w:rPr>
              <w:t>理财产品的总体风险程度较低，宁银理财不承诺本金保障，净值波动较小。虽然存在一些可能对产品本金安全产生不利影响的因素，但产品本金出现损失的可能性较小。</w:t>
            </w:r>
            <w:r w:rsidRPr="00B5057A">
              <w:rPr>
                <w:rFonts w:ascii="宋体" w:hAnsi="宋体"/>
                <w:color w:val="000000"/>
                <w:szCs w:val="21"/>
              </w:rPr>
              <w:t xml:space="preserve"> </w:t>
            </w:r>
          </w:p>
        </w:tc>
        <w:tc>
          <w:tcPr>
            <w:tcW w:w="2694" w:type="dxa"/>
          </w:tcPr>
          <w:p w14:paraId="306C7369" w14:textId="77777777" w:rsidR="005E3442" w:rsidRPr="00B5057A" w:rsidRDefault="005E3442" w:rsidP="00C40B4B">
            <w:pPr>
              <w:spacing w:line="312" w:lineRule="auto"/>
              <w:rPr>
                <w:rFonts w:ascii="宋体" w:hAnsi="宋体"/>
                <w:color w:val="000000"/>
                <w:szCs w:val="21"/>
              </w:rPr>
            </w:pPr>
            <w:r w:rsidRPr="00B5057A">
              <w:rPr>
                <w:rFonts w:ascii="宋体" w:hAnsi="宋体" w:hint="eastAsia"/>
                <w:color w:val="000000"/>
                <w:szCs w:val="21"/>
              </w:rPr>
              <w:t>经宁银理财</w:t>
            </w:r>
            <w:proofErr w:type="gramStart"/>
            <w:r w:rsidRPr="00B5057A">
              <w:rPr>
                <w:rFonts w:ascii="宋体" w:hAnsi="宋体" w:hint="eastAsia"/>
                <w:color w:val="000000"/>
                <w:szCs w:val="21"/>
              </w:rPr>
              <w:t>非机构</w:t>
            </w:r>
            <w:proofErr w:type="gramEnd"/>
            <w:r w:rsidRPr="00B5057A">
              <w:rPr>
                <w:rFonts w:ascii="宋体" w:hAnsi="宋体" w:hint="eastAsia"/>
                <w:color w:val="000000"/>
                <w:szCs w:val="21"/>
              </w:rPr>
              <w:t>投资者风险承受能力评估为</w:t>
            </w:r>
            <w:proofErr w:type="gramStart"/>
            <w:r w:rsidRPr="00B5057A">
              <w:rPr>
                <w:rFonts w:ascii="宋体" w:hAnsi="宋体" w:hint="eastAsia"/>
                <w:color w:val="000000"/>
                <w:szCs w:val="21"/>
              </w:rPr>
              <w:t>为</w:t>
            </w:r>
            <w:proofErr w:type="gramEnd"/>
            <w:r w:rsidRPr="00B5057A">
              <w:rPr>
                <w:rFonts w:ascii="宋体" w:hAnsi="宋体" w:hint="eastAsia"/>
                <w:color w:val="000000"/>
                <w:szCs w:val="21"/>
              </w:rPr>
              <w:t>稳健型、平衡型、成长型、进取型的投资者</w:t>
            </w:r>
          </w:p>
        </w:tc>
      </w:tr>
      <w:tr w:rsidR="005E3442" w:rsidRPr="00B5057A" w14:paraId="22E8779E" w14:textId="77777777" w:rsidTr="00C40B4B">
        <w:tc>
          <w:tcPr>
            <w:tcW w:w="1418" w:type="dxa"/>
          </w:tcPr>
          <w:p w14:paraId="151F0877" w14:textId="77777777" w:rsidR="005E3442" w:rsidRPr="00B5057A" w:rsidRDefault="005E3442" w:rsidP="00C40B4B">
            <w:pPr>
              <w:spacing w:line="312" w:lineRule="auto"/>
              <w:rPr>
                <w:rFonts w:ascii="宋体" w:hAnsi="宋体"/>
                <w:color w:val="000000"/>
                <w:szCs w:val="21"/>
              </w:rPr>
            </w:pPr>
            <w:r w:rsidRPr="00B5057A">
              <w:rPr>
                <w:rFonts w:ascii="宋体" w:hAnsi="宋体" w:hint="eastAsia"/>
                <w:color w:val="000000"/>
                <w:szCs w:val="21"/>
              </w:rPr>
              <w:t>中风险产品</w:t>
            </w:r>
          </w:p>
          <w:p w14:paraId="629470DB" w14:textId="77777777" w:rsidR="005E3442" w:rsidRPr="00B5057A" w:rsidRDefault="005E3442" w:rsidP="00C40B4B">
            <w:pPr>
              <w:spacing w:line="312" w:lineRule="auto"/>
              <w:rPr>
                <w:rFonts w:ascii="宋体" w:hAnsi="宋体"/>
                <w:color w:val="000000"/>
                <w:szCs w:val="21"/>
              </w:rPr>
            </w:pPr>
            <w:r w:rsidRPr="00B5057A">
              <w:rPr>
                <w:rFonts w:ascii="宋体" w:hAnsi="宋体" w:hint="eastAsia"/>
                <w:color w:val="000000"/>
                <w:szCs w:val="21"/>
              </w:rPr>
              <w:t>（</w:t>
            </w:r>
            <w:r w:rsidRPr="00B5057A">
              <w:rPr>
                <w:rFonts w:ascii="宋体" w:hAnsi="宋体"/>
                <w:color w:val="000000"/>
                <w:szCs w:val="21"/>
              </w:rPr>
              <w:t>PR3</w:t>
            </w:r>
            <w:r w:rsidRPr="00B5057A">
              <w:rPr>
                <w:rFonts w:ascii="宋体" w:hAnsi="宋体" w:hint="eastAsia"/>
                <w:color w:val="000000"/>
                <w:szCs w:val="21"/>
              </w:rPr>
              <w:t>）</w:t>
            </w:r>
          </w:p>
        </w:tc>
        <w:tc>
          <w:tcPr>
            <w:tcW w:w="4252" w:type="dxa"/>
          </w:tcPr>
          <w:p w14:paraId="73BA612A" w14:textId="77777777" w:rsidR="005E3442" w:rsidRPr="00B5057A" w:rsidRDefault="005E3442" w:rsidP="00C40B4B">
            <w:pPr>
              <w:spacing w:line="312" w:lineRule="auto"/>
              <w:rPr>
                <w:rFonts w:ascii="宋体" w:hAnsi="宋体"/>
                <w:color w:val="000000"/>
                <w:szCs w:val="21"/>
              </w:rPr>
            </w:pPr>
            <w:r w:rsidRPr="00B5057A">
              <w:rPr>
                <w:rFonts w:ascii="宋体" w:hAnsi="宋体" w:hint="eastAsia"/>
                <w:color w:val="000000"/>
                <w:szCs w:val="21"/>
              </w:rPr>
              <w:t>理财产品的总体风险程度适中，宁银理财不承诺本金保障，净值随投资的市场表现波动较明显，产品本金出现损失的可能性不容忽视。</w:t>
            </w:r>
            <w:r w:rsidRPr="00B5057A">
              <w:rPr>
                <w:rFonts w:ascii="宋体" w:hAnsi="宋体"/>
                <w:color w:val="000000"/>
                <w:szCs w:val="21"/>
              </w:rPr>
              <w:t xml:space="preserve"> </w:t>
            </w:r>
          </w:p>
        </w:tc>
        <w:tc>
          <w:tcPr>
            <w:tcW w:w="2694" w:type="dxa"/>
          </w:tcPr>
          <w:p w14:paraId="502E7FC5" w14:textId="77777777" w:rsidR="005E3442" w:rsidRPr="00B5057A" w:rsidRDefault="005E3442" w:rsidP="00C40B4B">
            <w:pPr>
              <w:spacing w:line="312" w:lineRule="auto"/>
              <w:rPr>
                <w:rFonts w:ascii="宋体" w:hAnsi="宋体"/>
                <w:color w:val="000000"/>
                <w:szCs w:val="21"/>
              </w:rPr>
            </w:pPr>
            <w:r w:rsidRPr="00B5057A">
              <w:rPr>
                <w:rFonts w:ascii="宋体" w:hAnsi="宋体" w:hint="eastAsia"/>
                <w:color w:val="000000"/>
                <w:szCs w:val="21"/>
              </w:rPr>
              <w:t>经宁银理财</w:t>
            </w:r>
            <w:proofErr w:type="gramStart"/>
            <w:r w:rsidRPr="00B5057A">
              <w:rPr>
                <w:rFonts w:ascii="宋体" w:hAnsi="宋体" w:hint="eastAsia"/>
                <w:color w:val="000000"/>
                <w:szCs w:val="21"/>
              </w:rPr>
              <w:t>非机构</w:t>
            </w:r>
            <w:proofErr w:type="gramEnd"/>
            <w:r w:rsidRPr="00B5057A">
              <w:rPr>
                <w:rFonts w:ascii="宋体" w:hAnsi="宋体" w:hint="eastAsia"/>
                <w:color w:val="000000"/>
                <w:szCs w:val="21"/>
              </w:rPr>
              <w:t>投资者风险承受能力评估为平衡型、成长型、进取型的投资者</w:t>
            </w:r>
          </w:p>
        </w:tc>
      </w:tr>
      <w:tr w:rsidR="005E3442" w:rsidRPr="00B5057A" w14:paraId="33257878" w14:textId="77777777" w:rsidTr="00C40B4B">
        <w:tc>
          <w:tcPr>
            <w:tcW w:w="1418" w:type="dxa"/>
          </w:tcPr>
          <w:p w14:paraId="4B41B413" w14:textId="77777777" w:rsidR="005E3442" w:rsidRPr="00B5057A" w:rsidRDefault="005E3442" w:rsidP="00C40B4B">
            <w:pPr>
              <w:spacing w:line="312" w:lineRule="auto"/>
              <w:rPr>
                <w:rFonts w:ascii="宋体" w:hAnsi="宋体"/>
                <w:color w:val="000000"/>
                <w:szCs w:val="21"/>
              </w:rPr>
            </w:pPr>
            <w:r w:rsidRPr="00B5057A">
              <w:rPr>
                <w:rFonts w:ascii="宋体" w:hAnsi="宋体" w:hint="eastAsia"/>
                <w:color w:val="000000"/>
                <w:szCs w:val="21"/>
              </w:rPr>
              <w:t>中</w:t>
            </w:r>
            <w:r w:rsidRPr="00B5057A">
              <w:rPr>
                <w:rFonts w:ascii="宋体" w:hAnsi="宋体"/>
                <w:color w:val="000000"/>
                <w:szCs w:val="21"/>
              </w:rPr>
              <w:t>高</w:t>
            </w:r>
            <w:r w:rsidRPr="00B5057A">
              <w:rPr>
                <w:rFonts w:ascii="宋体" w:hAnsi="宋体" w:hint="eastAsia"/>
                <w:color w:val="000000"/>
                <w:szCs w:val="21"/>
              </w:rPr>
              <w:t>风险产品（</w:t>
            </w:r>
            <w:r w:rsidRPr="00B5057A">
              <w:rPr>
                <w:rFonts w:ascii="宋体" w:hAnsi="宋体"/>
                <w:color w:val="000000"/>
                <w:szCs w:val="21"/>
              </w:rPr>
              <w:t>PR4</w:t>
            </w:r>
            <w:r w:rsidRPr="00B5057A">
              <w:rPr>
                <w:rFonts w:ascii="宋体" w:hAnsi="宋体" w:hint="eastAsia"/>
                <w:color w:val="000000"/>
                <w:szCs w:val="21"/>
              </w:rPr>
              <w:t>）</w:t>
            </w:r>
          </w:p>
        </w:tc>
        <w:tc>
          <w:tcPr>
            <w:tcW w:w="4252" w:type="dxa"/>
          </w:tcPr>
          <w:p w14:paraId="32A62847" w14:textId="77777777" w:rsidR="005E3442" w:rsidRPr="00B5057A" w:rsidRDefault="005E3442" w:rsidP="00C40B4B">
            <w:pPr>
              <w:spacing w:line="312" w:lineRule="auto"/>
              <w:rPr>
                <w:rFonts w:ascii="宋体" w:hAnsi="宋体"/>
                <w:color w:val="000000"/>
                <w:szCs w:val="21"/>
              </w:rPr>
            </w:pPr>
            <w:r w:rsidRPr="00B5057A">
              <w:rPr>
                <w:rFonts w:ascii="宋体" w:hAnsi="宋体" w:hint="eastAsia"/>
                <w:color w:val="000000"/>
                <w:szCs w:val="21"/>
              </w:rPr>
              <w:t>理财产品的总体风险程度较高，宁银理财不承诺本金保障，净值随投资的市场表现波动明显，产品本金出现损失的可能性较高。</w:t>
            </w:r>
            <w:r w:rsidRPr="00B5057A">
              <w:rPr>
                <w:rFonts w:ascii="宋体" w:hAnsi="宋体"/>
                <w:color w:val="000000"/>
                <w:szCs w:val="21"/>
              </w:rPr>
              <w:t xml:space="preserve"> </w:t>
            </w:r>
          </w:p>
        </w:tc>
        <w:tc>
          <w:tcPr>
            <w:tcW w:w="2694" w:type="dxa"/>
          </w:tcPr>
          <w:p w14:paraId="2B63EA6F" w14:textId="77777777" w:rsidR="005E3442" w:rsidRPr="00B5057A" w:rsidRDefault="005E3442" w:rsidP="00C40B4B">
            <w:pPr>
              <w:spacing w:line="312" w:lineRule="auto"/>
              <w:rPr>
                <w:rFonts w:ascii="宋体" w:hAnsi="宋体"/>
                <w:color w:val="000000"/>
                <w:szCs w:val="21"/>
              </w:rPr>
            </w:pPr>
            <w:r w:rsidRPr="00B5057A">
              <w:rPr>
                <w:rFonts w:ascii="宋体" w:hAnsi="宋体" w:hint="eastAsia"/>
                <w:color w:val="000000"/>
                <w:szCs w:val="21"/>
              </w:rPr>
              <w:t>经宁银理财</w:t>
            </w:r>
            <w:proofErr w:type="gramStart"/>
            <w:r w:rsidRPr="00B5057A">
              <w:rPr>
                <w:rFonts w:ascii="宋体" w:hAnsi="宋体" w:hint="eastAsia"/>
                <w:color w:val="000000"/>
                <w:szCs w:val="21"/>
              </w:rPr>
              <w:t>非机构</w:t>
            </w:r>
            <w:proofErr w:type="gramEnd"/>
            <w:r w:rsidRPr="00B5057A">
              <w:rPr>
                <w:rFonts w:ascii="宋体" w:hAnsi="宋体" w:hint="eastAsia"/>
                <w:color w:val="000000"/>
                <w:szCs w:val="21"/>
              </w:rPr>
              <w:t>投资者风险承受能力评估为成长型、进取型的投资者</w:t>
            </w:r>
          </w:p>
        </w:tc>
      </w:tr>
      <w:tr w:rsidR="005E3442" w:rsidRPr="00B5057A" w14:paraId="2BE8BD00" w14:textId="77777777" w:rsidTr="00C40B4B">
        <w:tc>
          <w:tcPr>
            <w:tcW w:w="1418" w:type="dxa"/>
          </w:tcPr>
          <w:p w14:paraId="3F8B6CC2" w14:textId="77777777" w:rsidR="005E3442" w:rsidRPr="00B5057A" w:rsidRDefault="005E3442" w:rsidP="00C40B4B">
            <w:pPr>
              <w:spacing w:line="312" w:lineRule="auto"/>
              <w:rPr>
                <w:rFonts w:ascii="宋体" w:hAnsi="宋体"/>
                <w:color w:val="000000"/>
                <w:szCs w:val="21"/>
              </w:rPr>
            </w:pPr>
            <w:r w:rsidRPr="00B5057A">
              <w:rPr>
                <w:rFonts w:ascii="宋体" w:hAnsi="宋体" w:hint="eastAsia"/>
                <w:color w:val="000000"/>
                <w:szCs w:val="21"/>
              </w:rPr>
              <w:t>高风险产品</w:t>
            </w:r>
          </w:p>
          <w:p w14:paraId="62D82E28" w14:textId="77777777" w:rsidR="005E3442" w:rsidRPr="00B5057A" w:rsidRDefault="005E3442" w:rsidP="00C40B4B">
            <w:pPr>
              <w:spacing w:line="312" w:lineRule="auto"/>
              <w:rPr>
                <w:rFonts w:ascii="宋体" w:hAnsi="宋体"/>
                <w:color w:val="000000"/>
                <w:szCs w:val="21"/>
              </w:rPr>
            </w:pPr>
            <w:r w:rsidRPr="00B5057A">
              <w:rPr>
                <w:rFonts w:ascii="宋体" w:hAnsi="宋体" w:hint="eastAsia"/>
                <w:color w:val="000000"/>
                <w:szCs w:val="21"/>
              </w:rPr>
              <w:t>（</w:t>
            </w:r>
            <w:r w:rsidRPr="00B5057A">
              <w:rPr>
                <w:rFonts w:ascii="宋体" w:hAnsi="宋体"/>
                <w:color w:val="000000"/>
                <w:szCs w:val="21"/>
              </w:rPr>
              <w:t>PR5</w:t>
            </w:r>
            <w:r w:rsidRPr="00B5057A">
              <w:rPr>
                <w:rFonts w:ascii="宋体" w:hAnsi="宋体" w:hint="eastAsia"/>
                <w:color w:val="000000"/>
                <w:szCs w:val="21"/>
              </w:rPr>
              <w:t>）</w:t>
            </w:r>
          </w:p>
        </w:tc>
        <w:tc>
          <w:tcPr>
            <w:tcW w:w="4252" w:type="dxa"/>
          </w:tcPr>
          <w:p w14:paraId="1A6FB303" w14:textId="77777777" w:rsidR="005E3442" w:rsidRPr="00B5057A" w:rsidRDefault="005E3442" w:rsidP="00C40B4B">
            <w:pPr>
              <w:spacing w:line="312" w:lineRule="auto"/>
              <w:rPr>
                <w:rFonts w:ascii="宋体" w:hAnsi="宋体"/>
                <w:color w:val="000000"/>
                <w:szCs w:val="21"/>
              </w:rPr>
            </w:pPr>
            <w:r w:rsidRPr="00B5057A">
              <w:rPr>
                <w:rFonts w:ascii="宋体" w:hAnsi="宋体" w:hint="eastAsia"/>
                <w:color w:val="000000"/>
                <w:szCs w:val="21"/>
              </w:rPr>
              <w:t>理财产品的总体风险程度高，宁银理财不承诺本金保障，净值随投资的市场表现波动明显，产品本金出现损失的可能性很高，产品本金蒙受全部损失的可能性不容忽视。</w:t>
            </w:r>
            <w:r w:rsidRPr="00B5057A">
              <w:rPr>
                <w:rFonts w:ascii="宋体" w:hAnsi="宋体"/>
                <w:color w:val="000000"/>
                <w:szCs w:val="21"/>
              </w:rPr>
              <w:t xml:space="preserve"> </w:t>
            </w:r>
          </w:p>
        </w:tc>
        <w:tc>
          <w:tcPr>
            <w:tcW w:w="2694" w:type="dxa"/>
          </w:tcPr>
          <w:p w14:paraId="4A3344F1" w14:textId="77777777" w:rsidR="005E3442" w:rsidRPr="00B5057A" w:rsidRDefault="005E3442" w:rsidP="00C40B4B">
            <w:pPr>
              <w:spacing w:line="312" w:lineRule="auto"/>
              <w:rPr>
                <w:rFonts w:ascii="宋体" w:hAnsi="宋体"/>
                <w:color w:val="000000"/>
                <w:szCs w:val="21"/>
              </w:rPr>
            </w:pPr>
            <w:r w:rsidRPr="00B5057A">
              <w:rPr>
                <w:rFonts w:ascii="宋体" w:hAnsi="宋体" w:hint="eastAsia"/>
                <w:color w:val="000000"/>
                <w:szCs w:val="21"/>
              </w:rPr>
              <w:t>经宁银理财</w:t>
            </w:r>
            <w:proofErr w:type="gramStart"/>
            <w:r w:rsidRPr="00B5057A">
              <w:rPr>
                <w:rFonts w:ascii="宋体" w:hAnsi="宋体" w:hint="eastAsia"/>
                <w:color w:val="000000"/>
                <w:szCs w:val="21"/>
              </w:rPr>
              <w:t>非机构</w:t>
            </w:r>
            <w:proofErr w:type="gramEnd"/>
            <w:r w:rsidRPr="00B5057A">
              <w:rPr>
                <w:rFonts w:ascii="宋体" w:hAnsi="宋体" w:hint="eastAsia"/>
                <w:color w:val="000000"/>
                <w:szCs w:val="21"/>
              </w:rPr>
              <w:t>投资者风险承受能力评估为进取型的投资者</w:t>
            </w:r>
          </w:p>
        </w:tc>
      </w:tr>
    </w:tbl>
    <w:p w14:paraId="1AA76E9C" w14:textId="77777777" w:rsidR="005E3442" w:rsidRPr="00B5057A" w:rsidRDefault="005E3442" w:rsidP="005E3442">
      <w:pPr>
        <w:pStyle w:val="0836842b"/>
        <w:spacing w:line="312" w:lineRule="auto"/>
        <w:ind w:firstLineChars="200" w:firstLine="480"/>
        <w:rPr>
          <w:rFonts w:ascii="宋体" w:eastAsia="宋体" w:hAnsi="宋体" w:cs="Times New Roman"/>
          <w:color w:val="000000"/>
          <w:sz w:val="24"/>
          <w:szCs w:val="24"/>
        </w:rPr>
      </w:pPr>
      <w:r w:rsidRPr="00B5057A">
        <w:rPr>
          <w:rFonts w:ascii="宋体" w:eastAsia="宋体" w:hAnsi="宋体" w:cs="Times New Roman" w:hint="eastAsia"/>
          <w:color w:val="000000"/>
          <w:sz w:val="24"/>
          <w:szCs w:val="24"/>
        </w:rPr>
        <w:t>对于</w:t>
      </w:r>
      <w:r w:rsidRPr="00B5057A">
        <w:rPr>
          <w:rFonts w:ascii="宋体" w:eastAsia="宋体" w:hAnsi="宋体" w:cs="Times New Roman"/>
          <w:color w:val="000000"/>
          <w:sz w:val="24"/>
          <w:szCs w:val="24"/>
        </w:rPr>
        <w:t>通过</w:t>
      </w:r>
      <w:r w:rsidRPr="00B5057A">
        <w:rPr>
          <w:rFonts w:ascii="宋体" w:eastAsia="宋体" w:hAnsi="宋体" w:cs="Times New Roman" w:hint="eastAsia"/>
          <w:sz w:val="24"/>
          <w:szCs w:val="24"/>
        </w:rPr>
        <w:t>代理销售</w:t>
      </w:r>
      <w:r w:rsidRPr="00B5057A">
        <w:rPr>
          <w:rFonts w:ascii="宋体" w:eastAsia="宋体" w:hAnsi="宋体" w:cs="Times New Roman" w:hint="eastAsia"/>
          <w:color w:val="000000"/>
          <w:sz w:val="24"/>
          <w:szCs w:val="24"/>
        </w:rPr>
        <w:t>机构进行</w:t>
      </w:r>
      <w:r w:rsidRPr="00B5057A">
        <w:rPr>
          <w:rFonts w:ascii="宋体" w:eastAsia="宋体" w:hAnsi="宋体" w:cs="Times New Roman"/>
          <w:color w:val="000000"/>
          <w:sz w:val="24"/>
          <w:szCs w:val="24"/>
        </w:rPr>
        <w:t>风险</w:t>
      </w:r>
      <w:r w:rsidRPr="00B5057A">
        <w:rPr>
          <w:rFonts w:ascii="宋体" w:eastAsia="宋体" w:hAnsi="宋体" w:cs="Times New Roman" w:hint="eastAsia"/>
          <w:color w:val="000000"/>
          <w:sz w:val="24"/>
          <w:szCs w:val="24"/>
        </w:rPr>
        <w:t>承受能力</w:t>
      </w:r>
      <w:r w:rsidRPr="00B5057A">
        <w:rPr>
          <w:rFonts w:ascii="宋体" w:eastAsia="宋体" w:hAnsi="宋体" w:cs="Times New Roman"/>
          <w:color w:val="000000"/>
          <w:sz w:val="24"/>
          <w:szCs w:val="24"/>
        </w:rPr>
        <w:t>评估的投资者，</w:t>
      </w:r>
      <w:r w:rsidRPr="00B5057A">
        <w:rPr>
          <w:rFonts w:ascii="宋体" w:eastAsia="宋体" w:hAnsi="宋体" w:cs="Times New Roman" w:hint="eastAsia"/>
          <w:sz w:val="24"/>
          <w:szCs w:val="24"/>
        </w:rPr>
        <w:t>风险承受能力等级以代理销售机构的评估结果为准</w:t>
      </w:r>
      <w:r w:rsidRPr="00B5057A">
        <w:rPr>
          <w:rFonts w:ascii="宋体" w:eastAsia="宋体" w:hAnsi="宋体" w:cs="Times New Roman"/>
          <w:color w:val="000000"/>
          <w:sz w:val="24"/>
          <w:szCs w:val="24"/>
        </w:rPr>
        <w:t>。</w:t>
      </w:r>
    </w:p>
    <w:p w14:paraId="244B26B3" w14:textId="77777777" w:rsidR="005E3442" w:rsidRPr="00B5057A" w:rsidRDefault="005E3442" w:rsidP="005E3442">
      <w:pPr>
        <w:pStyle w:val="0836842b"/>
        <w:spacing w:line="312" w:lineRule="auto"/>
        <w:ind w:firstLineChars="200" w:firstLine="482"/>
        <w:rPr>
          <w:rFonts w:ascii="宋体" w:eastAsia="宋体" w:hAnsi="宋体" w:cs="Times New Roman"/>
          <w:b/>
          <w:bCs/>
          <w:color w:val="000000"/>
          <w:sz w:val="24"/>
          <w:szCs w:val="24"/>
        </w:rPr>
      </w:pPr>
      <w:r w:rsidRPr="00B5057A">
        <w:rPr>
          <w:rFonts w:ascii="宋体" w:eastAsia="宋体" w:hAnsi="宋体" w:cs="Times New Roman" w:hint="eastAsia"/>
          <w:b/>
          <w:bCs/>
          <w:color w:val="000000"/>
          <w:sz w:val="24"/>
          <w:szCs w:val="24"/>
        </w:rPr>
        <w:t>三、信息披露</w:t>
      </w:r>
    </w:p>
    <w:p w14:paraId="72185433" w14:textId="796FDA86" w:rsidR="005E3442" w:rsidRPr="00B5057A" w:rsidRDefault="005E3442" w:rsidP="005E3442">
      <w:pPr>
        <w:pStyle w:val="0836842b"/>
        <w:spacing w:line="312" w:lineRule="auto"/>
        <w:ind w:firstLineChars="200" w:firstLine="480"/>
        <w:rPr>
          <w:rFonts w:ascii="宋体" w:eastAsia="宋体" w:hAnsi="宋体" w:cs="Times New Roman"/>
          <w:color w:val="000000"/>
          <w:sz w:val="24"/>
          <w:szCs w:val="24"/>
        </w:rPr>
      </w:pPr>
      <w:r w:rsidRPr="00B5057A">
        <w:rPr>
          <w:rFonts w:ascii="宋体" w:eastAsia="宋体" w:hAnsi="宋体" w:cs="Times New Roman" w:hint="eastAsia"/>
          <w:color w:val="000000"/>
          <w:sz w:val="24"/>
          <w:szCs w:val="24"/>
        </w:rPr>
        <w:t>宁银理财将于理财产品募集期间、存续期间和终止时，通过本公司网站（</w:t>
      </w:r>
      <w:r w:rsidRPr="00CF4F9C">
        <w:rPr>
          <w:rFonts w:ascii="宋体" w:eastAsia="宋体" w:hAnsi="宋体" w:cs="Times New Roman"/>
          <w:color w:val="000000"/>
          <w:sz w:val="24"/>
          <w:szCs w:val="24"/>
        </w:rPr>
        <w:t>www.wmbnb.com</w:t>
      </w:r>
      <w:r w:rsidRPr="00B5057A">
        <w:rPr>
          <w:rFonts w:ascii="宋体" w:eastAsia="宋体" w:hAnsi="宋体" w:cs="Times New Roman" w:hint="eastAsia"/>
          <w:color w:val="000000"/>
          <w:sz w:val="24"/>
          <w:szCs w:val="24"/>
        </w:rPr>
        <w:t>）、相关产品代理销售机构官方渠道或其他</w:t>
      </w:r>
      <w:r w:rsidR="004D48CC">
        <w:rPr>
          <w:rFonts w:ascii="宋体" w:eastAsia="宋体" w:hAnsi="宋体" w:cs="Times New Roman" w:hint="eastAsia"/>
          <w:color w:val="000000"/>
          <w:sz w:val="24"/>
          <w:szCs w:val="24"/>
        </w:rPr>
        <w:t>适当的</w:t>
      </w:r>
      <w:r w:rsidRPr="00B5057A">
        <w:rPr>
          <w:rFonts w:ascii="宋体" w:eastAsia="宋体" w:hAnsi="宋体" w:cs="Times New Roman" w:hint="eastAsia"/>
          <w:color w:val="000000"/>
          <w:sz w:val="24"/>
          <w:szCs w:val="24"/>
        </w:rPr>
        <w:t>方式进行信息披露（具体产品</w:t>
      </w:r>
      <w:r w:rsidRPr="00B5057A">
        <w:rPr>
          <w:rFonts w:ascii="宋体" w:eastAsia="宋体" w:hAnsi="宋体" w:cs="Times New Roman"/>
          <w:color w:val="000000"/>
          <w:sz w:val="24"/>
          <w:szCs w:val="24"/>
        </w:rPr>
        <w:t>的</w:t>
      </w:r>
      <w:r w:rsidRPr="00B5057A">
        <w:rPr>
          <w:rFonts w:ascii="宋体" w:eastAsia="宋体" w:hAnsi="宋体" w:cs="Times New Roman" w:hint="eastAsia"/>
          <w:color w:val="000000"/>
          <w:sz w:val="24"/>
          <w:szCs w:val="24"/>
        </w:rPr>
        <w:t>信息披露方式、频率等</w:t>
      </w:r>
      <w:proofErr w:type="gramStart"/>
      <w:r w:rsidRPr="00B5057A">
        <w:rPr>
          <w:rFonts w:ascii="宋体" w:eastAsia="宋体" w:hAnsi="宋体" w:cs="Times New Roman" w:hint="eastAsia"/>
          <w:color w:val="000000"/>
          <w:sz w:val="24"/>
          <w:szCs w:val="24"/>
        </w:rPr>
        <w:t>规则见</w:t>
      </w:r>
      <w:proofErr w:type="gramEnd"/>
      <w:r w:rsidRPr="00B5057A">
        <w:rPr>
          <w:rFonts w:ascii="宋体" w:eastAsia="宋体" w:hAnsi="宋体" w:cs="Times New Roman" w:hint="eastAsia"/>
          <w:sz w:val="24"/>
          <w:szCs w:val="24"/>
        </w:rPr>
        <w:t>《理财产品说明书》</w:t>
      </w:r>
      <w:r w:rsidRPr="00B5057A">
        <w:rPr>
          <w:rFonts w:ascii="宋体" w:eastAsia="宋体" w:hAnsi="宋体" w:cs="Times New Roman" w:hint="eastAsia"/>
          <w:color w:val="000000"/>
          <w:sz w:val="24"/>
          <w:szCs w:val="24"/>
        </w:rPr>
        <w:t>）。宁银理财或</w:t>
      </w:r>
      <w:r w:rsidRPr="00B5057A">
        <w:rPr>
          <w:rFonts w:ascii="宋体" w:eastAsia="宋体" w:hAnsi="宋体" w:cs="Times New Roman"/>
          <w:color w:val="000000"/>
          <w:sz w:val="24"/>
          <w:szCs w:val="24"/>
        </w:rPr>
        <w:t>代理销售机构</w:t>
      </w:r>
      <w:r w:rsidRPr="00B5057A">
        <w:rPr>
          <w:rFonts w:ascii="宋体" w:eastAsia="宋体" w:hAnsi="宋体" w:cs="Times New Roman" w:hint="eastAsia"/>
          <w:color w:val="000000"/>
          <w:sz w:val="24"/>
          <w:szCs w:val="24"/>
        </w:rPr>
        <w:t>通过理财产品销售</w:t>
      </w:r>
      <w:r w:rsidRPr="00B5057A">
        <w:rPr>
          <w:rFonts w:ascii="宋体" w:eastAsia="宋体" w:hAnsi="宋体" w:cs="Times New Roman"/>
          <w:color w:val="000000"/>
          <w:sz w:val="24"/>
          <w:szCs w:val="24"/>
        </w:rPr>
        <w:t>文件</w:t>
      </w:r>
      <w:r w:rsidRPr="00B5057A">
        <w:rPr>
          <w:rFonts w:ascii="宋体" w:eastAsia="宋体" w:hAnsi="宋体" w:cs="Times New Roman" w:hint="eastAsia"/>
          <w:color w:val="000000"/>
          <w:sz w:val="24"/>
          <w:szCs w:val="24"/>
        </w:rPr>
        <w:t>约定</w:t>
      </w:r>
      <w:r w:rsidRPr="00B5057A">
        <w:rPr>
          <w:rFonts w:ascii="宋体" w:eastAsia="宋体" w:hAnsi="宋体" w:cs="Times New Roman"/>
          <w:color w:val="000000"/>
          <w:sz w:val="24"/>
          <w:szCs w:val="24"/>
        </w:rPr>
        <w:t>方式披露信息后，</w:t>
      </w:r>
      <w:r w:rsidRPr="00B5057A">
        <w:rPr>
          <w:rFonts w:ascii="宋体" w:eastAsia="宋体" w:hAnsi="宋体" w:cs="Times New Roman" w:hint="eastAsia"/>
          <w:color w:val="000000"/>
          <w:sz w:val="24"/>
          <w:szCs w:val="24"/>
        </w:rPr>
        <w:t>视为宁银理财已</w:t>
      </w:r>
      <w:r w:rsidRPr="00B5057A">
        <w:rPr>
          <w:rFonts w:ascii="宋体" w:eastAsia="宋体" w:hAnsi="宋体" w:cs="Times New Roman"/>
          <w:color w:val="000000"/>
          <w:sz w:val="24"/>
          <w:szCs w:val="24"/>
        </w:rPr>
        <w:t>向</w:t>
      </w:r>
      <w:r w:rsidRPr="00B5057A">
        <w:rPr>
          <w:rFonts w:ascii="宋体" w:eastAsia="宋体" w:hAnsi="宋体" w:cs="Times New Roman" w:hint="eastAsia"/>
          <w:color w:val="000000"/>
          <w:sz w:val="24"/>
          <w:szCs w:val="24"/>
        </w:rPr>
        <w:t>投资者</w:t>
      </w:r>
      <w:r w:rsidRPr="00B5057A">
        <w:rPr>
          <w:rFonts w:ascii="宋体" w:eastAsia="宋体" w:hAnsi="宋体" w:cs="Times New Roman"/>
          <w:color w:val="000000"/>
          <w:sz w:val="24"/>
          <w:szCs w:val="24"/>
        </w:rPr>
        <w:t>完全履行信息披露义务</w:t>
      </w:r>
      <w:r w:rsidRPr="00B5057A">
        <w:rPr>
          <w:rFonts w:ascii="宋体" w:eastAsia="宋体" w:hAnsi="宋体" w:cs="Times New Roman" w:hint="eastAsia"/>
          <w:color w:val="000000"/>
          <w:sz w:val="24"/>
          <w:szCs w:val="24"/>
        </w:rPr>
        <w:t>，投资者应依据理财产品销售文件的约定，及时通过宁银理财网站、客服热线或</w:t>
      </w:r>
      <w:r w:rsidRPr="00B5057A">
        <w:rPr>
          <w:rFonts w:ascii="宋体" w:eastAsia="宋体" w:hAnsi="宋体" w:cs="Times New Roman"/>
          <w:color w:val="000000"/>
          <w:sz w:val="24"/>
          <w:szCs w:val="24"/>
        </w:rPr>
        <w:t>相关</w:t>
      </w:r>
      <w:r w:rsidRPr="00B5057A">
        <w:rPr>
          <w:rFonts w:ascii="宋体" w:eastAsia="宋体" w:hAnsi="宋体" w:cs="Times New Roman" w:hint="eastAsia"/>
          <w:color w:val="000000"/>
          <w:sz w:val="24"/>
          <w:szCs w:val="24"/>
        </w:rPr>
        <w:t>产品</w:t>
      </w:r>
      <w:r w:rsidRPr="00B5057A">
        <w:rPr>
          <w:rFonts w:ascii="宋体" w:eastAsia="宋体" w:hAnsi="宋体" w:cs="Times New Roman"/>
          <w:color w:val="000000"/>
          <w:sz w:val="24"/>
          <w:szCs w:val="24"/>
        </w:rPr>
        <w:t>代理销售机构</w:t>
      </w:r>
      <w:r w:rsidRPr="00B5057A">
        <w:rPr>
          <w:rFonts w:ascii="宋体" w:eastAsia="宋体" w:hAnsi="宋体" w:cs="Times New Roman" w:hint="eastAsia"/>
          <w:color w:val="000000"/>
          <w:sz w:val="24"/>
          <w:szCs w:val="24"/>
        </w:rPr>
        <w:t>官方渠道</w:t>
      </w:r>
      <w:r w:rsidRPr="00B5057A">
        <w:rPr>
          <w:rFonts w:ascii="宋体" w:eastAsia="宋体" w:hAnsi="宋体" w:cs="Times New Roman"/>
          <w:color w:val="000000"/>
          <w:sz w:val="24"/>
          <w:szCs w:val="24"/>
        </w:rPr>
        <w:t>进行</w:t>
      </w:r>
      <w:r w:rsidRPr="00B5057A">
        <w:rPr>
          <w:rFonts w:ascii="宋体" w:eastAsia="宋体" w:hAnsi="宋体" w:cs="Times New Roman" w:hint="eastAsia"/>
          <w:color w:val="000000"/>
          <w:sz w:val="24"/>
          <w:szCs w:val="24"/>
        </w:rPr>
        <w:t>查询。</w:t>
      </w:r>
    </w:p>
    <w:p w14:paraId="2A632B0E" w14:textId="77777777" w:rsidR="005E3442" w:rsidRPr="00B5057A" w:rsidRDefault="005E3442" w:rsidP="005E3442">
      <w:pPr>
        <w:pStyle w:val="0836842b"/>
        <w:spacing w:line="312" w:lineRule="auto"/>
        <w:ind w:firstLineChars="200" w:firstLine="482"/>
        <w:rPr>
          <w:rFonts w:ascii="宋体" w:eastAsia="宋体" w:hAnsi="宋体" w:cs="Times New Roman"/>
          <w:b/>
          <w:bCs/>
          <w:color w:val="000000"/>
          <w:sz w:val="24"/>
          <w:szCs w:val="24"/>
        </w:rPr>
      </w:pPr>
      <w:r w:rsidRPr="00B5057A">
        <w:rPr>
          <w:rFonts w:ascii="宋体" w:eastAsia="宋体" w:hAnsi="宋体" w:cs="Times New Roman" w:hint="eastAsia"/>
          <w:b/>
          <w:bCs/>
          <w:color w:val="000000"/>
          <w:sz w:val="24"/>
          <w:szCs w:val="24"/>
        </w:rPr>
        <w:t>四、投资者信息管理</w:t>
      </w:r>
    </w:p>
    <w:p w14:paraId="39777BBF" w14:textId="5585856A" w:rsidR="005E3442" w:rsidRPr="00B5057A" w:rsidRDefault="005E3442" w:rsidP="005E3442">
      <w:pPr>
        <w:pStyle w:val="0836842b"/>
        <w:spacing w:line="360" w:lineRule="auto"/>
        <w:ind w:firstLineChars="200" w:firstLine="480"/>
        <w:rPr>
          <w:rFonts w:ascii="宋体" w:eastAsia="宋体" w:hAnsi="宋体" w:cs="Times New Roman"/>
          <w:sz w:val="24"/>
          <w:szCs w:val="24"/>
        </w:rPr>
      </w:pPr>
      <w:r w:rsidRPr="00B5057A">
        <w:rPr>
          <w:rFonts w:ascii="宋体" w:eastAsia="宋体" w:hAnsi="宋体" w:cs="Times New Roman"/>
          <w:sz w:val="24"/>
          <w:szCs w:val="24"/>
        </w:rPr>
        <w:t>基于</w:t>
      </w:r>
      <w:r w:rsidRPr="00B5057A">
        <w:rPr>
          <w:rFonts w:ascii="宋体" w:eastAsia="宋体" w:hAnsi="宋体" w:cs="Times New Roman" w:hint="eastAsia"/>
          <w:color w:val="000000"/>
          <w:sz w:val="24"/>
          <w:szCs w:val="24"/>
        </w:rPr>
        <w:t>宁银理财</w:t>
      </w:r>
      <w:r w:rsidRPr="00B5057A">
        <w:rPr>
          <w:rFonts w:ascii="宋体" w:eastAsia="宋体" w:hAnsi="宋体" w:cs="Times New Roman"/>
          <w:sz w:val="24"/>
          <w:szCs w:val="24"/>
        </w:rPr>
        <w:t>履行</w:t>
      </w:r>
      <w:r w:rsidRPr="00B5057A">
        <w:rPr>
          <w:rFonts w:ascii="宋体" w:eastAsia="宋体" w:hAnsi="宋体" w:cs="Times New Roman" w:hint="eastAsia"/>
          <w:sz w:val="24"/>
          <w:szCs w:val="24"/>
        </w:rPr>
        <w:t>理财产品销售文件所载明的各项义务</w:t>
      </w:r>
      <w:r w:rsidRPr="00B5057A">
        <w:rPr>
          <w:rFonts w:ascii="宋体" w:eastAsia="宋体" w:hAnsi="宋体" w:cs="Times New Roman"/>
          <w:sz w:val="24"/>
          <w:szCs w:val="24"/>
        </w:rPr>
        <w:t>、进行服务管理和风险管理、报送监管信息</w:t>
      </w:r>
      <w:r w:rsidRPr="00B5057A">
        <w:rPr>
          <w:rFonts w:ascii="宋体" w:eastAsia="宋体" w:hAnsi="宋体" w:cs="Times New Roman" w:hint="eastAsia"/>
          <w:sz w:val="24"/>
          <w:szCs w:val="24"/>
        </w:rPr>
        <w:t>、</w:t>
      </w:r>
      <w:r w:rsidRPr="00B5057A">
        <w:rPr>
          <w:rFonts w:ascii="宋体" w:eastAsia="宋体" w:hAnsi="宋体" w:cs="Times New Roman"/>
          <w:sz w:val="24"/>
          <w:szCs w:val="24"/>
        </w:rPr>
        <w:t>履行反洗钱、</w:t>
      </w:r>
      <w:r w:rsidRPr="00B5057A">
        <w:rPr>
          <w:rFonts w:ascii="宋体" w:eastAsia="宋体" w:hAnsi="宋体" w:cs="Times New Roman" w:hint="eastAsia"/>
          <w:sz w:val="24"/>
          <w:szCs w:val="24"/>
        </w:rPr>
        <w:t>反恐怖融资、非居民金融账户涉税信息尽职调查、</w:t>
      </w:r>
      <w:r w:rsidRPr="00B5057A">
        <w:rPr>
          <w:rFonts w:ascii="宋体" w:eastAsia="宋体" w:hAnsi="宋体" w:cs="Times New Roman"/>
          <w:sz w:val="24"/>
          <w:szCs w:val="24"/>
        </w:rPr>
        <w:t>投资者资质审核和销售适当性等法律法规和监管要求的义务</w:t>
      </w:r>
      <w:r w:rsidRPr="00B5057A">
        <w:rPr>
          <w:rFonts w:ascii="宋体" w:eastAsia="宋体" w:hAnsi="宋体" w:cs="Times New Roman" w:hint="eastAsia"/>
          <w:sz w:val="24"/>
          <w:szCs w:val="24"/>
        </w:rPr>
        <w:t>的</w:t>
      </w:r>
      <w:r w:rsidRPr="00B5057A">
        <w:rPr>
          <w:rFonts w:ascii="宋体" w:eastAsia="宋体" w:hAnsi="宋体" w:cs="Times New Roman"/>
          <w:sz w:val="24"/>
          <w:szCs w:val="24"/>
        </w:rPr>
        <w:t>需要，</w:t>
      </w:r>
      <w:r w:rsidRPr="00B5057A">
        <w:rPr>
          <w:rFonts w:ascii="宋体" w:eastAsia="宋体" w:hAnsi="宋体" w:cs="Times New Roman" w:hint="eastAsia"/>
          <w:b/>
          <w:color w:val="000000"/>
          <w:sz w:val="24"/>
          <w:szCs w:val="24"/>
        </w:rPr>
        <w:t>宁银理财有权</w:t>
      </w:r>
      <w:r w:rsidRPr="00B5057A">
        <w:rPr>
          <w:rFonts w:ascii="宋体" w:eastAsia="宋体" w:hAnsi="宋体" w:cs="Times New Roman"/>
          <w:b/>
          <w:sz w:val="24"/>
          <w:szCs w:val="24"/>
        </w:rPr>
        <w:t>在业务办理或履行过程中</w:t>
      </w:r>
      <w:r w:rsidRPr="00B5057A">
        <w:rPr>
          <w:rFonts w:ascii="宋体" w:eastAsia="宋体" w:hAnsi="宋体" w:cs="Times New Roman" w:hint="eastAsia"/>
          <w:b/>
          <w:sz w:val="24"/>
          <w:szCs w:val="24"/>
        </w:rPr>
        <w:t>直接或通过代理销售机构间接获取并报送投资者身份信息、账户信息及其持有理财产品等信息；</w:t>
      </w:r>
      <w:r w:rsidRPr="00B5057A">
        <w:rPr>
          <w:rFonts w:ascii="宋体" w:eastAsia="宋体" w:hAnsi="宋体" w:cs="Times New Roman"/>
          <w:b/>
          <w:sz w:val="24"/>
          <w:szCs w:val="24"/>
        </w:rPr>
        <w:t>在</w:t>
      </w:r>
      <w:r w:rsidRPr="00B5057A">
        <w:rPr>
          <w:rFonts w:ascii="宋体" w:eastAsia="宋体" w:hAnsi="宋体" w:cs="Times New Roman" w:hint="eastAsia"/>
          <w:b/>
          <w:color w:val="000000"/>
          <w:sz w:val="24"/>
          <w:szCs w:val="24"/>
        </w:rPr>
        <w:t>宁银理财</w:t>
      </w:r>
      <w:r w:rsidRPr="00B5057A">
        <w:rPr>
          <w:rFonts w:ascii="宋体" w:eastAsia="宋体" w:hAnsi="宋体" w:cs="Times New Roman"/>
          <w:b/>
          <w:sz w:val="24"/>
          <w:szCs w:val="24"/>
        </w:rPr>
        <w:t>办理本协议项下相关事项所必需的情形下，</w:t>
      </w:r>
      <w:r w:rsidRPr="00B5057A">
        <w:rPr>
          <w:rFonts w:ascii="宋体" w:eastAsia="宋体" w:hAnsi="宋体" w:cs="Times New Roman" w:hint="eastAsia"/>
          <w:b/>
          <w:sz w:val="24"/>
          <w:szCs w:val="24"/>
        </w:rPr>
        <w:t>授权宁银理财</w:t>
      </w:r>
      <w:r w:rsidRPr="00B5057A">
        <w:rPr>
          <w:rFonts w:ascii="宋体" w:eastAsia="宋体" w:hAnsi="宋体" w:cs="Times New Roman"/>
          <w:b/>
          <w:sz w:val="24"/>
          <w:szCs w:val="24"/>
        </w:rPr>
        <w:t>向</w:t>
      </w:r>
      <w:r w:rsidRPr="00B5057A">
        <w:rPr>
          <w:rFonts w:ascii="宋体" w:eastAsia="宋体" w:hAnsi="宋体" w:cs="Times New Roman" w:hint="eastAsia"/>
          <w:b/>
          <w:color w:val="000000"/>
          <w:sz w:val="24"/>
          <w:szCs w:val="24"/>
        </w:rPr>
        <w:t>宁银理财</w:t>
      </w:r>
      <w:r w:rsidRPr="00B5057A">
        <w:rPr>
          <w:rFonts w:ascii="宋体" w:eastAsia="宋体" w:hAnsi="宋体" w:cs="Times New Roman"/>
          <w:b/>
          <w:sz w:val="24"/>
          <w:szCs w:val="24"/>
        </w:rPr>
        <w:t>集团成员、服务机构及其</w:t>
      </w:r>
      <w:r w:rsidRPr="00B5057A">
        <w:rPr>
          <w:rFonts w:ascii="宋体" w:eastAsia="宋体" w:hAnsi="宋体" w:cs="Times New Roman"/>
          <w:b/>
          <w:sz w:val="24"/>
          <w:szCs w:val="24"/>
        </w:rPr>
        <w:lastRenderedPageBreak/>
        <w:t>他</w:t>
      </w:r>
      <w:r w:rsidRPr="00B5057A">
        <w:rPr>
          <w:rFonts w:ascii="宋体" w:eastAsia="宋体" w:hAnsi="宋体" w:cs="Times New Roman" w:hint="eastAsia"/>
          <w:b/>
          <w:color w:val="000000"/>
          <w:sz w:val="24"/>
          <w:szCs w:val="24"/>
        </w:rPr>
        <w:t>宁银理财</w:t>
      </w:r>
      <w:r w:rsidRPr="00B5057A">
        <w:rPr>
          <w:rFonts w:ascii="宋体" w:eastAsia="宋体" w:hAnsi="宋体" w:cs="Times New Roman"/>
          <w:b/>
          <w:sz w:val="24"/>
          <w:szCs w:val="24"/>
        </w:rPr>
        <w:t>认为必要的业务合作机构（包括但不限于代理销售机构）提供</w:t>
      </w:r>
      <w:r w:rsidRPr="00B5057A">
        <w:rPr>
          <w:rFonts w:ascii="宋体" w:eastAsia="宋体" w:hAnsi="宋体" w:cs="Times New Roman" w:hint="eastAsia"/>
          <w:b/>
          <w:color w:val="000000"/>
          <w:sz w:val="24"/>
          <w:szCs w:val="24"/>
        </w:rPr>
        <w:t>宁银理财</w:t>
      </w:r>
      <w:r w:rsidRPr="00B5057A">
        <w:rPr>
          <w:rFonts w:ascii="宋体" w:eastAsia="宋体" w:hAnsi="宋体" w:cs="Times New Roman"/>
          <w:b/>
          <w:sz w:val="24"/>
          <w:szCs w:val="24"/>
        </w:rPr>
        <w:t>获取的</w:t>
      </w:r>
      <w:r w:rsidRPr="00B5057A">
        <w:rPr>
          <w:rFonts w:ascii="宋体" w:eastAsia="宋体" w:hAnsi="宋体" w:cs="Times New Roman" w:hint="eastAsia"/>
          <w:b/>
          <w:sz w:val="24"/>
          <w:szCs w:val="24"/>
        </w:rPr>
        <w:t>投资者</w:t>
      </w:r>
      <w:r w:rsidRPr="00B5057A">
        <w:rPr>
          <w:rFonts w:ascii="宋体" w:eastAsia="宋体" w:hAnsi="宋体" w:cs="Times New Roman"/>
          <w:b/>
          <w:sz w:val="24"/>
          <w:szCs w:val="24"/>
        </w:rPr>
        <w:t>信息，范围包括但不限于</w:t>
      </w:r>
      <w:r w:rsidRPr="00B5057A">
        <w:rPr>
          <w:rFonts w:ascii="宋体" w:eastAsia="宋体" w:hAnsi="宋体" w:cs="Times New Roman" w:hint="eastAsia"/>
          <w:b/>
          <w:sz w:val="24"/>
          <w:szCs w:val="24"/>
        </w:rPr>
        <w:t>投资者</w:t>
      </w:r>
      <w:r w:rsidRPr="00B5057A">
        <w:rPr>
          <w:rFonts w:ascii="宋体" w:eastAsia="宋体" w:hAnsi="宋体" w:cs="Times New Roman"/>
          <w:b/>
          <w:sz w:val="24"/>
          <w:szCs w:val="24"/>
        </w:rPr>
        <w:t>的身份信息、账户信息等</w:t>
      </w:r>
      <w:r w:rsidR="00240C6A">
        <w:rPr>
          <w:rFonts w:ascii="宋体" w:eastAsia="宋体" w:hAnsi="宋体" w:cs="Times New Roman" w:hint="eastAsia"/>
          <w:b/>
          <w:sz w:val="24"/>
          <w:szCs w:val="24"/>
        </w:rPr>
        <w:t>，</w:t>
      </w:r>
      <w:r w:rsidR="00240C6A" w:rsidRPr="00240C6A">
        <w:rPr>
          <w:rFonts w:ascii="宋体" w:eastAsia="宋体" w:hAnsi="宋体" w:cs="Times New Roman" w:hint="eastAsia"/>
          <w:b/>
          <w:sz w:val="24"/>
          <w:szCs w:val="24"/>
        </w:rPr>
        <w:t>授权使用时限与提供前述服务及履行相关法律法规和监管要求义务的必要时限一致</w:t>
      </w:r>
      <w:r w:rsidRPr="00B5057A">
        <w:rPr>
          <w:rFonts w:ascii="宋体" w:eastAsia="宋体" w:hAnsi="宋体" w:cs="Times New Roman"/>
          <w:b/>
          <w:sz w:val="24"/>
          <w:szCs w:val="24"/>
        </w:rPr>
        <w:t>。接收信息的</w:t>
      </w:r>
      <w:proofErr w:type="gramStart"/>
      <w:r w:rsidRPr="00B5057A">
        <w:rPr>
          <w:rFonts w:ascii="宋体" w:eastAsia="宋体" w:hAnsi="宋体" w:cs="Times New Roman"/>
          <w:b/>
          <w:sz w:val="24"/>
          <w:szCs w:val="24"/>
        </w:rPr>
        <w:t>上述第三</w:t>
      </w:r>
      <w:proofErr w:type="gramEnd"/>
      <w:r w:rsidRPr="00B5057A">
        <w:rPr>
          <w:rFonts w:ascii="宋体" w:eastAsia="宋体" w:hAnsi="宋体" w:cs="Times New Roman"/>
          <w:b/>
          <w:sz w:val="24"/>
          <w:szCs w:val="24"/>
        </w:rPr>
        <w:t>方将为处理本协议项下事务之目的接触并按照</w:t>
      </w:r>
      <w:r w:rsidRPr="00B5057A">
        <w:rPr>
          <w:rFonts w:ascii="宋体" w:eastAsia="宋体" w:hAnsi="宋体" w:cs="Times New Roman" w:hint="eastAsia"/>
          <w:b/>
          <w:color w:val="000000"/>
          <w:sz w:val="24"/>
          <w:szCs w:val="24"/>
        </w:rPr>
        <w:t>宁银理财</w:t>
      </w:r>
      <w:r w:rsidRPr="00B5057A">
        <w:rPr>
          <w:rFonts w:ascii="宋体" w:eastAsia="宋体" w:hAnsi="宋体" w:cs="Times New Roman"/>
          <w:b/>
          <w:sz w:val="24"/>
          <w:szCs w:val="24"/>
        </w:rPr>
        <w:t>的业务需要使用</w:t>
      </w:r>
      <w:r w:rsidRPr="00B5057A">
        <w:rPr>
          <w:rFonts w:ascii="宋体" w:eastAsia="宋体" w:hAnsi="宋体" w:cs="Times New Roman" w:hint="eastAsia"/>
          <w:b/>
          <w:sz w:val="24"/>
          <w:szCs w:val="24"/>
        </w:rPr>
        <w:t>投资者</w:t>
      </w:r>
      <w:r w:rsidRPr="00B5057A">
        <w:rPr>
          <w:rFonts w:ascii="宋体" w:eastAsia="宋体" w:hAnsi="宋体" w:cs="Times New Roman"/>
          <w:b/>
          <w:sz w:val="24"/>
          <w:szCs w:val="24"/>
        </w:rPr>
        <w:t>信息。</w:t>
      </w:r>
      <w:r w:rsidRPr="00B5057A">
        <w:rPr>
          <w:rFonts w:ascii="宋体" w:eastAsia="宋体" w:hAnsi="宋体" w:cs="Times New Roman" w:hint="eastAsia"/>
          <w:color w:val="000000"/>
          <w:sz w:val="24"/>
          <w:szCs w:val="24"/>
        </w:rPr>
        <w:t>宁银理财</w:t>
      </w:r>
      <w:r w:rsidRPr="00B5057A">
        <w:rPr>
          <w:rFonts w:ascii="宋体" w:eastAsia="宋体" w:hAnsi="宋体" w:cs="Times New Roman"/>
          <w:sz w:val="24"/>
          <w:szCs w:val="24"/>
        </w:rPr>
        <w:t>承诺将向有关第三</w:t>
      </w:r>
      <w:proofErr w:type="gramStart"/>
      <w:r w:rsidRPr="00B5057A">
        <w:rPr>
          <w:rFonts w:ascii="宋体" w:eastAsia="宋体" w:hAnsi="宋体" w:cs="Times New Roman"/>
          <w:sz w:val="24"/>
          <w:szCs w:val="24"/>
        </w:rPr>
        <w:t>方明确</w:t>
      </w:r>
      <w:proofErr w:type="gramEnd"/>
      <w:r w:rsidRPr="00B5057A">
        <w:rPr>
          <w:rFonts w:ascii="宋体" w:eastAsia="宋体" w:hAnsi="宋体" w:cs="Times New Roman"/>
          <w:sz w:val="24"/>
          <w:szCs w:val="24"/>
        </w:rPr>
        <w:t>其保护</w:t>
      </w:r>
      <w:r w:rsidRPr="00B5057A">
        <w:rPr>
          <w:rFonts w:ascii="宋体" w:eastAsia="宋体" w:hAnsi="宋体" w:cs="Times New Roman" w:hint="eastAsia"/>
          <w:sz w:val="24"/>
          <w:szCs w:val="24"/>
        </w:rPr>
        <w:t>投资者信息的职责并要求第三方承担相应保密义务。</w:t>
      </w:r>
      <w:r w:rsidR="00240C6A" w:rsidRPr="00240C6A">
        <w:rPr>
          <w:rFonts w:ascii="宋体" w:eastAsia="宋体" w:hAnsi="宋体" w:cs="Times New Roman" w:hint="eastAsia"/>
          <w:sz w:val="24"/>
          <w:szCs w:val="24"/>
        </w:rPr>
        <w:t>宁银理财将妥善保管投资者理财产品销售相关资料，保管年限不得低于法规规定的年限；超出必要保管期限后，宁银理财、销售机构及其他第三方合作机构（如有）将及时删除投资者的档案（包括以电子化形式以及纸质文本形式保管的投资者个人信息）。</w:t>
      </w:r>
    </w:p>
    <w:p w14:paraId="37D3290D" w14:textId="77777777" w:rsidR="005E3442" w:rsidRPr="00B5057A" w:rsidRDefault="005E3442" w:rsidP="005E3442">
      <w:pPr>
        <w:pStyle w:val="0836842b"/>
        <w:spacing w:line="312" w:lineRule="auto"/>
        <w:ind w:firstLineChars="200" w:firstLine="482"/>
        <w:outlineLvl w:val="0"/>
        <w:rPr>
          <w:rFonts w:ascii="宋体" w:eastAsia="宋体" w:hAnsi="宋体" w:cs="Times New Roman"/>
          <w:b/>
          <w:bCs/>
          <w:color w:val="000000"/>
          <w:sz w:val="24"/>
          <w:szCs w:val="24"/>
        </w:rPr>
      </w:pPr>
      <w:r w:rsidRPr="00B5057A">
        <w:rPr>
          <w:rFonts w:ascii="宋体" w:eastAsia="宋体" w:hAnsi="宋体" w:cs="Times New Roman" w:hint="eastAsia"/>
          <w:b/>
          <w:bCs/>
          <w:color w:val="000000"/>
          <w:sz w:val="24"/>
          <w:szCs w:val="24"/>
        </w:rPr>
        <w:t>五、投诉及建议</w:t>
      </w:r>
    </w:p>
    <w:p w14:paraId="3ADAA952" w14:textId="77777777" w:rsidR="005E3442" w:rsidRPr="00B5057A" w:rsidRDefault="005E3442" w:rsidP="005E3442">
      <w:pPr>
        <w:pStyle w:val="0836842b"/>
        <w:spacing w:line="312" w:lineRule="auto"/>
        <w:ind w:firstLineChars="200" w:firstLine="482"/>
        <w:rPr>
          <w:rFonts w:ascii="宋体" w:eastAsia="宋体" w:hAnsi="宋体" w:cs="Times New Roman"/>
          <w:b/>
          <w:color w:val="000000"/>
          <w:sz w:val="24"/>
          <w:szCs w:val="24"/>
        </w:rPr>
      </w:pPr>
      <w:r w:rsidRPr="00B5057A">
        <w:rPr>
          <w:rFonts w:ascii="宋体" w:eastAsia="宋体" w:hAnsi="宋体" w:cs="Times New Roman" w:hint="eastAsia"/>
          <w:b/>
          <w:color w:val="000000"/>
          <w:sz w:val="24"/>
          <w:szCs w:val="24"/>
        </w:rPr>
        <w:t>若您对本理财产品有任何投诉或建议，请拨打宁银理财客服热线、拨打代理销售机构客服热线或反馈至代理销售机构营业网点，宁银理财或代理销售机构将对您所反映的情况和建议作及时的处理和反馈。</w:t>
      </w:r>
    </w:p>
    <w:p w14:paraId="719E8135" w14:textId="77777777" w:rsidR="005E3442" w:rsidRPr="00B5057A" w:rsidRDefault="005E3442" w:rsidP="005E3442">
      <w:pPr>
        <w:pStyle w:val="0836842b"/>
        <w:spacing w:line="312" w:lineRule="auto"/>
        <w:ind w:firstLineChars="200" w:firstLine="482"/>
        <w:rPr>
          <w:rFonts w:ascii="宋体" w:eastAsia="宋体" w:hAnsi="宋体" w:cs="Times New Roman"/>
          <w:b/>
          <w:bCs/>
          <w:color w:val="000000"/>
          <w:sz w:val="24"/>
          <w:szCs w:val="24"/>
        </w:rPr>
      </w:pPr>
      <w:r w:rsidRPr="00B5057A">
        <w:rPr>
          <w:rFonts w:ascii="宋体" w:eastAsia="宋体" w:hAnsi="宋体" w:cs="Times New Roman" w:hint="eastAsia"/>
          <w:b/>
          <w:bCs/>
          <w:color w:val="000000"/>
          <w:sz w:val="24"/>
          <w:szCs w:val="24"/>
        </w:rPr>
        <w:t>六</w:t>
      </w:r>
      <w:r w:rsidRPr="00B5057A">
        <w:rPr>
          <w:rFonts w:ascii="宋体" w:eastAsia="宋体" w:hAnsi="宋体" w:cs="Times New Roman"/>
          <w:b/>
          <w:bCs/>
          <w:color w:val="000000"/>
          <w:sz w:val="24"/>
          <w:szCs w:val="24"/>
        </w:rPr>
        <w:t>、</w:t>
      </w:r>
      <w:r w:rsidRPr="00B5057A">
        <w:rPr>
          <w:rFonts w:ascii="宋体" w:eastAsia="宋体" w:hAnsi="宋体" w:cs="Times New Roman" w:hint="eastAsia"/>
          <w:b/>
          <w:bCs/>
          <w:color w:val="000000"/>
          <w:sz w:val="24"/>
          <w:szCs w:val="24"/>
        </w:rPr>
        <w:t>宁银理财</w:t>
      </w:r>
      <w:r w:rsidRPr="00B5057A">
        <w:rPr>
          <w:rFonts w:ascii="宋体" w:eastAsia="宋体" w:hAnsi="宋体" w:cs="Times New Roman"/>
          <w:b/>
          <w:bCs/>
          <w:color w:val="000000"/>
          <w:sz w:val="24"/>
          <w:szCs w:val="24"/>
        </w:rPr>
        <w:t>联络方式</w:t>
      </w:r>
    </w:p>
    <w:p w14:paraId="68CFC6F6" w14:textId="7947AD0D" w:rsidR="005E3442" w:rsidRPr="00B5057A" w:rsidRDefault="005E3442" w:rsidP="005E3442">
      <w:pPr>
        <w:pStyle w:val="0836842b"/>
        <w:spacing w:line="312" w:lineRule="auto"/>
        <w:ind w:firstLineChars="500" w:firstLine="1200"/>
        <w:rPr>
          <w:rFonts w:ascii="宋体" w:eastAsia="宋体" w:hAnsi="宋体" w:cs="Times New Roman"/>
          <w:color w:val="000000"/>
          <w:sz w:val="24"/>
          <w:szCs w:val="24"/>
        </w:rPr>
      </w:pPr>
      <w:r w:rsidRPr="00B5057A">
        <w:rPr>
          <w:rFonts w:ascii="宋体" w:eastAsia="宋体" w:hAnsi="宋体" w:cs="Times New Roman" w:hint="eastAsia"/>
          <w:color w:val="000000"/>
          <w:sz w:val="24"/>
          <w:szCs w:val="24"/>
        </w:rPr>
        <w:t>客服</w:t>
      </w:r>
      <w:r w:rsidRPr="00B5057A">
        <w:rPr>
          <w:rFonts w:ascii="宋体" w:eastAsia="宋体" w:hAnsi="宋体" w:cs="Times New Roman"/>
          <w:color w:val="000000"/>
          <w:sz w:val="24"/>
          <w:szCs w:val="24"/>
        </w:rPr>
        <w:t>热线</w:t>
      </w:r>
      <w:r w:rsidRPr="00B5057A">
        <w:rPr>
          <w:rFonts w:ascii="宋体" w:eastAsia="宋体" w:hAnsi="宋体" w:cs="Times New Roman" w:hint="eastAsia"/>
          <w:color w:val="000000"/>
          <w:sz w:val="24"/>
          <w:szCs w:val="24"/>
        </w:rPr>
        <w:t>：</w:t>
      </w:r>
      <w:r w:rsidR="00EC4E10" w:rsidRPr="00EC4E10">
        <w:rPr>
          <w:rFonts w:ascii="宋体" w:eastAsia="宋体" w:hAnsi="宋体" w:cs="Times New Roman"/>
          <w:color w:val="000000"/>
          <w:sz w:val="24"/>
          <w:szCs w:val="24"/>
        </w:rPr>
        <w:t>400-099-5574</w:t>
      </w:r>
    </w:p>
    <w:p w14:paraId="0610BD30" w14:textId="77777777" w:rsidR="005E3442" w:rsidRPr="00B5057A" w:rsidRDefault="005E3442" w:rsidP="005E3442">
      <w:pPr>
        <w:pStyle w:val="0836842b"/>
        <w:spacing w:line="312" w:lineRule="auto"/>
        <w:ind w:firstLineChars="500" w:firstLine="1200"/>
        <w:rPr>
          <w:rFonts w:ascii="宋体" w:eastAsia="宋体" w:hAnsi="宋体" w:cs="Times New Roman"/>
          <w:color w:val="000000"/>
          <w:sz w:val="24"/>
          <w:szCs w:val="24"/>
        </w:rPr>
      </w:pPr>
      <w:r w:rsidRPr="00B5057A">
        <w:rPr>
          <w:rFonts w:ascii="宋体" w:eastAsia="宋体" w:hAnsi="宋体" w:cs="Times New Roman" w:hint="eastAsia"/>
          <w:color w:val="000000"/>
          <w:sz w:val="24"/>
          <w:szCs w:val="24"/>
        </w:rPr>
        <w:t>官方网站</w:t>
      </w:r>
      <w:r w:rsidRPr="00B5057A">
        <w:rPr>
          <w:rFonts w:ascii="宋体" w:eastAsia="宋体" w:hAnsi="宋体" w:cs="Times New Roman"/>
          <w:color w:val="000000"/>
          <w:sz w:val="24"/>
          <w:szCs w:val="24"/>
        </w:rPr>
        <w:t>：</w:t>
      </w:r>
      <w:r w:rsidRPr="00664FB8">
        <w:rPr>
          <w:rFonts w:ascii="宋体" w:eastAsia="宋体" w:hAnsi="宋体" w:cs="Times New Roman"/>
          <w:color w:val="000000"/>
          <w:sz w:val="24"/>
          <w:szCs w:val="24"/>
        </w:rPr>
        <w:t>www.wmbnb.com</w:t>
      </w:r>
    </w:p>
    <w:p w14:paraId="4B368A8B" w14:textId="77777777" w:rsidR="005E3442" w:rsidRPr="00B5057A" w:rsidRDefault="005E3442" w:rsidP="005E3442">
      <w:pPr>
        <w:pStyle w:val="0836842b"/>
        <w:spacing w:line="312" w:lineRule="auto"/>
        <w:ind w:firstLine="480"/>
        <w:rPr>
          <w:rFonts w:ascii="Times New Roman" w:eastAsia="宋体" w:hAnsi="Times New Roman" w:cs="Times New Roman"/>
          <w:b/>
          <w:bCs/>
          <w:sz w:val="24"/>
          <w:szCs w:val="24"/>
        </w:rPr>
      </w:pPr>
      <w:r w:rsidRPr="00B5057A">
        <w:rPr>
          <w:rFonts w:ascii="Times New Roman" w:eastAsia="宋体" w:hAnsi="Times New Roman" w:cs="Times New Roman" w:hint="eastAsia"/>
          <w:b/>
          <w:bCs/>
          <w:sz w:val="24"/>
          <w:szCs w:val="24"/>
        </w:rPr>
        <w:t>七、代理销售机构联络方式</w:t>
      </w:r>
    </w:p>
    <w:p w14:paraId="39BE75BB" w14:textId="77777777" w:rsidR="004D48CC" w:rsidRPr="005E3442" w:rsidRDefault="004D48CC" w:rsidP="004D48CC">
      <w:pPr>
        <w:pStyle w:val="0836842b"/>
        <w:ind w:firstLineChars="400" w:firstLine="960"/>
      </w:pPr>
      <w:r w:rsidRPr="009775EC">
        <w:rPr>
          <w:rFonts w:ascii="宋体" w:eastAsia="宋体" w:hAnsi="宋体" w:cs="Times New Roman" w:hint="eastAsia"/>
          <w:color w:val="000000"/>
          <w:sz w:val="24"/>
          <w:szCs w:val="24"/>
        </w:rPr>
        <w:t>代理销售机构联系方式详见《理财产品说明书》</w:t>
      </w:r>
    </w:p>
    <w:p w14:paraId="44F77975" w14:textId="3FE55DC0" w:rsidR="0010006E" w:rsidRPr="005E3442" w:rsidRDefault="0010006E" w:rsidP="003D7FAB">
      <w:pPr>
        <w:pStyle w:val="0836842b"/>
      </w:pPr>
    </w:p>
    <w:p>
      <w:r>
        <w:br w:type="page"/>
      </w:r>
    </w:p>
    <w:p w14:paraId="18813CEC">
      <w:pPr>
        <w:pStyle w:val="e8fd2d8b"/>
        <w:adjustRightInd w:val="0"/>
        <w:snapToGrid w:val="0"/>
        <w:spacing w:line="312" w:lineRule="auto"/>
        <w:jc w:val="center"/>
        <w:rPr>
          <w:rFonts w:ascii="黑体" w:hAnsi="黑体" w:eastAsia="黑体"/>
          <w:b/>
          <w:sz w:val="44"/>
          <w:szCs w:val="44"/>
        </w:rPr>
      </w:pPr>
      <w:r>
        <w:rPr>
          <w:rFonts w:hint="eastAsia" w:ascii="黑体" w:hAnsi="黑体" w:eastAsia="黑体"/>
          <w:b/>
          <w:sz w:val="44"/>
          <w:szCs w:val="44"/>
        </w:rPr>
        <w:t>宁银理财宁欣固定收益类封闭式理财1</w:t>
      </w:r>
      <w:r>
        <w:rPr>
          <w:rFonts w:hint="eastAsia" w:ascii="黑体" w:hAnsi="黑体" w:eastAsia="黑体"/>
          <w:b/>
          <w:sz w:val="44"/>
          <w:szCs w:val="44"/>
          <w:lang w:val="en-US" w:eastAsia="zh-CN"/>
        </w:rPr>
        <w:t>899</w:t>
      </w:r>
      <w:r>
        <w:rPr>
          <w:rFonts w:hint="eastAsia" w:ascii="黑体" w:hAnsi="黑体" w:eastAsia="黑体"/>
          <w:b/>
          <w:sz w:val="44"/>
          <w:szCs w:val="44"/>
        </w:rPr>
        <w:t>号产品代理销售协议书</w:t>
      </w:r>
    </w:p>
    <w:p w14:paraId="26BAB567">
      <w:pPr>
        <w:pStyle w:val="e8fd2d8b"/>
        <w:adjustRightInd w:val="0"/>
        <w:snapToGrid w:val="0"/>
        <w:spacing w:line="312" w:lineRule="auto"/>
        <w:jc w:val="center"/>
        <w:rPr>
          <w:rFonts w:ascii="黑体" w:hAnsi="黑体" w:eastAsia="黑体"/>
          <w:b/>
          <w:sz w:val="24"/>
        </w:rPr>
      </w:pPr>
      <w:r>
        <w:rPr>
          <w:rFonts w:hint="eastAsia" w:ascii="黑体" w:hAnsi="黑体" w:eastAsia="黑体"/>
          <w:b/>
          <w:sz w:val="24"/>
        </w:rPr>
        <w:t>（</w:t>
      </w:r>
      <w:r>
        <w:rPr>
          <w:rFonts w:ascii="黑体" w:hAnsi="黑体" w:eastAsia="黑体"/>
          <w:b/>
          <w:sz w:val="24"/>
        </w:rPr>
        <w:t>202</w:t>
      </w:r>
      <w:r>
        <w:rPr>
          <w:rFonts w:hint="eastAsia" w:ascii="黑体" w:hAnsi="黑体" w:eastAsia="黑体"/>
          <w:b/>
          <w:sz w:val="24"/>
        </w:rPr>
        <w:t>4</w:t>
      </w:r>
      <w:r>
        <w:rPr>
          <w:rFonts w:ascii="黑体" w:hAnsi="黑体" w:eastAsia="黑体"/>
          <w:b/>
          <w:sz w:val="24"/>
        </w:rPr>
        <w:t>0</w:t>
      </w:r>
      <w:r>
        <w:rPr>
          <w:rFonts w:hint="eastAsia" w:ascii="黑体" w:hAnsi="黑体" w:eastAsia="黑体"/>
          <w:b/>
          <w:sz w:val="24"/>
        </w:rPr>
        <w:t>1版）</w:t>
      </w:r>
    </w:p>
    <w:p w14:paraId="0D332C1A">
      <w:pPr>
        <w:pStyle w:val="e8fd2d8b"/>
        <w:adjustRightInd w:val="0"/>
        <w:snapToGrid w:val="0"/>
        <w:spacing w:line="312" w:lineRule="auto"/>
        <w:rPr>
          <w:rFonts w:ascii="黑体" w:hAnsi="黑体" w:eastAsia="黑体"/>
          <w:sz w:val="24"/>
        </w:rPr>
      </w:pPr>
      <w:r>
        <w:rPr>
          <w:rFonts w:hint="eastAsia" w:ascii="黑体" w:hAnsi="黑体" w:eastAsia="黑体"/>
          <w:sz w:val="24"/>
        </w:rPr>
        <w:t xml:space="preserve"> </w:t>
      </w:r>
      <w:r>
        <w:rPr>
          <w:rFonts w:ascii="黑体" w:hAnsi="黑体" w:eastAsia="黑体"/>
          <w:sz w:val="24"/>
        </w:rPr>
        <w:t xml:space="preserve">    </w:t>
      </w:r>
      <w:r>
        <w:rPr>
          <w:rFonts w:hint="eastAsia" w:ascii="黑体" w:hAnsi="黑体" w:eastAsia="黑体"/>
          <w:sz w:val="24"/>
          <w:lang w:val="en-US" w:eastAsia="zh-CN"/>
        </w:rPr>
        <w:t>绍兴</w:t>
      </w:r>
      <w:r>
        <w:rPr>
          <w:rFonts w:hint="eastAsia" w:ascii="黑体" w:hAnsi="黑体" w:eastAsia="黑体"/>
          <w:sz w:val="24"/>
        </w:rPr>
        <w:t>银行股份有限公司（以下简称“乙方”）与其代理销售的理财产品的购买方（以下简称“甲方”）经平等友好协商，本着自愿、诚实信用的原则，就乙方向甲方销售理财产品及提供理财服务相关</w:t>
      </w:r>
      <w:r>
        <w:rPr>
          <w:rFonts w:ascii="黑体" w:hAnsi="黑体" w:eastAsia="黑体"/>
          <w:sz w:val="24"/>
        </w:rPr>
        <w:t>事宜</w:t>
      </w:r>
      <w:r>
        <w:rPr>
          <w:rFonts w:hint="eastAsia" w:ascii="黑体" w:hAnsi="黑体" w:eastAsia="黑体"/>
          <w:sz w:val="24"/>
        </w:rPr>
        <w:t>，达成如下协议（以下</w:t>
      </w:r>
      <w:r>
        <w:rPr>
          <w:rFonts w:ascii="黑体" w:hAnsi="黑体" w:eastAsia="黑体"/>
          <w:sz w:val="24"/>
        </w:rPr>
        <w:t>简称“</w:t>
      </w:r>
      <w:r>
        <w:rPr>
          <w:rFonts w:hint="eastAsia" w:ascii="黑体" w:hAnsi="黑体" w:eastAsia="黑体"/>
          <w:sz w:val="24"/>
        </w:rPr>
        <w:t>本协议</w:t>
      </w:r>
      <w:r>
        <w:rPr>
          <w:rFonts w:ascii="黑体" w:hAnsi="黑体" w:eastAsia="黑体"/>
          <w:sz w:val="24"/>
        </w:rPr>
        <w:t>”）</w:t>
      </w:r>
      <w:r>
        <w:rPr>
          <w:rFonts w:hint="eastAsia" w:ascii="黑体" w:hAnsi="黑体" w:eastAsia="黑体"/>
          <w:sz w:val="24"/>
        </w:rPr>
        <w:t>：</w:t>
      </w:r>
    </w:p>
    <w:p w14:paraId="19F72556">
      <w:pPr>
        <w:pStyle w:val="e8fd2d8b"/>
        <w:adjustRightInd w:val="0"/>
        <w:snapToGrid w:val="0"/>
        <w:spacing w:line="312" w:lineRule="auto"/>
        <w:ind w:firstLine="472" w:firstLineChars="196"/>
        <w:rPr>
          <w:rFonts w:ascii="黑体" w:hAnsi="黑体" w:eastAsia="黑体"/>
          <w:b/>
          <w:sz w:val="24"/>
        </w:rPr>
      </w:pPr>
      <w:r>
        <w:rPr>
          <w:rFonts w:hint="eastAsia" w:ascii="黑体" w:hAnsi="黑体" w:eastAsia="黑体"/>
          <w:b/>
          <w:bCs/>
          <w:sz w:val="24"/>
        </w:rPr>
        <w:t>第一</w:t>
      </w:r>
      <w:r>
        <w:rPr>
          <w:rFonts w:hint="eastAsia" w:ascii="黑体" w:hAnsi="黑体" w:eastAsia="黑体"/>
          <w:b/>
          <w:sz w:val="24"/>
        </w:rPr>
        <w:t>条 释义</w:t>
      </w:r>
    </w:p>
    <w:p w14:paraId="36383992">
      <w:pPr>
        <w:pStyle w:val="e8fd2d8b"/>
        <w:adjustRightInd w:val="0"/>
        <w:snapToGrid w:val="0"/>
        <w:spacing w:line="312" w:lineRule="auto"/>
        <w:ind w:firstLine="540" w:firstLineChars="225"/>
        <w:jc w:val="left"/>
        <w:rPr>
          <w:rFonts w:ascii="黑体" w:hAnsi="黑体" w:eastAsia="黑体"/>
          <w:bCs/>
          <w:sz w:val="24"/>
        </w:rPr>
      </w:pPr>
      <w:r>
        <w:rPr>
          <w:rFonts w:hint="eastAsia" w:ascii="黑体" w:hAnsi="黑体" w:eastAsia="黑体"/>
          <w:bCs/>
          <w:sz w:val="24"/>
        </w:rPr>
        <w:t>甲方与乙方约定，本协议及本理财产品的《理财产品说明书》、《风险揭示书》、《投资协议书》、《投资者权益须知》等理财产品销售文件中所涉以下名词均具有以下含义：</w:t>
      </w:r>
    </w:p>
    <w:p w14:paraId="68996591">
      <w:pPr>
        <w:pStyle w:val="1da221f3"/>
        <w:numPr>
          <w:ilvl w:val="0"/>
          <w:numId w:val="9"/>
        </w:numPr>
        <w:adjustRightInd w:val="0"/>
        <w:snapToGrid w:val="0"/>
        <w:spacing w:line="312" w:lineRule="auto"/>
        <w:ind w:firstLineChars="0"/>
        <w:jc w:val="left"/>
        <w:rPr>
          <w:rFonts w:ascii="黑体" w:hAnsi="黑体" w:eastAsia="黑体"/>
          <w:bCs/>
          <w:sz w:val="24"/>
        </w:rPr>
      </w:pPr>
      <w:r>
        <w:rPr>
          <w:rFonts w:hint="eastAsia" w:ascii="黑体" w:hAnsi="黑体" w:eastAsia="黑体"/>
          <w:bCs/>
          <w:sz w:val="24"/>
        </w:rPr>
        <w:t>理财计划</w:t>
      </w:r>
      <w:r>
        <w:rPr>
          <w:rFonts w:ascii="黑体" w:hAnsi="黑体" w:eastAsia="黑体"/>
          <w:bCs/>
          <w:sz w:val="24"/>
        </w:rPr>
        <w:t>/</w:t>
      </w:r>
      <w:r>
        <w:rPr>
          <w:rFonts w:hint="eastAsia" w:ascii="黑体" w:hAnsi="黑体" w:eastAsia="黑体"/>
          <w:bCs/>
          <w:sz w:val="24"/>
        </w:rPr>
        <w:t>理财产品</w:t>
      </w:r>
      <w:r>
        <w:rPr>
          <w:rFonts w:ascii="黑体" w:hAnsi="黑体" w:eastAsia="黑体"/>
          <w:bCs/>
          <w:sz w:val="24"/>
        </w:rPr>
        <w:t>/</w:t>
      </w:r>
      <w:r>
        <w:rPr>
          <w:rFonts w:hint="eastAsia" w:ascii="黑体" w:hAnsi="黑体" w:eastAsia="黑体"/>
          <w:bCs/>
          <w:sz w:val="24"/>
        </w:rPr>
        <w:t>产品：指宁银理财宁欣固定收益类封闭式理财1</w:t>
      </w:r>
      <w:r>
        <w:rPr>
          <w:rFonts w:hint="eastAsia" w:ascii="黑体" w:hAnsi="黑体" w:eastAsia="黑体"/>
          <w:bCs/>
          <w:sz w:val="24"/>
          <w:lang w:val="en-US" w:eastAsia="zh-CN"/>
        </w:rPr>
        <w:t>899</w:t>
      </w:r>
      <w:r>
        <w:rPr>
          <w:rFonts w:hint="eastAsia" w:ascii="黑体" w:hAnsi="黑体" w:eastAsia="黑体"/>
          <w:bCs/>
          <w:sz w:val="24"/>
        </w:rPr>
        <w:t>号产品。</w:t>
      </w:r>
    </w:p>
    <w:p w14:paraId="64B20BA0">
      <w:pPr>
        <w:pStyle w:val="1da221f3"/>
        <w:numPr>
          <w:ilvl w:val="0"/>
          <w:numId w:val="9"/>
        </w:numPr>
        <w:adjustRightInd w:val="0"/>
        <w:snapToGrid w:val="0"/>
        <w:spacing w:line="312" w:lineRule="auto"/>
        <w:ind w:firstLineChars="0"/>
        <w:jc w:val="left"/>
        <w:rPr>
          <w:rFonts w:ascii="黑体" w:hAnsi="黑体" w:eastAsia="黑体"/>
          <w:bCs/>
          <w:sz w:val="24"/>
        </w:rPr>
      </w:pPr>
      <w:r>
        <w:rPr>
          <w:rFonts w:hint="eastAsia" w:ascii="黑体" w:hAnsi="黑体" w:eastAsia="黑体"/>
          <w:bCs/>
          <w:sz w:val="24"/>
        </w:rPr>
        <w:t>管理机构/产品管理人：指宁银理财有限责任公司。</w:t>
      </w:r>
    </w:p>
    <w:p w14:paraId="1FF53E74">
      <w:pPr>
        <w:pStyle w:val="e8fd2d8b"/>
        <w:adjustRightInd w:val="0"/>
        <w:snapToGrid w:val="0"/>
        <w:spacing w:line="312" w:lineRule="auto"/>
        <w:ind w:firstLine="480" w:firstLineChars="200"/>
        <w:rPr>
          <w:rFonts w:ascii="黑体" w:hAnsi="黑体" w:eastAsia="黑体"/>
          <w:sz w:val="24"/>
        </w:rPr>
      </w:pPr>
      <w:r>
        <w:rPr>
          <w:rFonts w:hint="eastAsia" w:ascii="黑体" w:hAnsi="黑体" w:eastAsia="黑体"/>
          <w:sz w:val="24"/>
        </w:rPr>
        <w:t>（三）投资者指定账户</w:t>
      </w:r>
      <w:r>
        <w:rPr>
          <w:rFonts w:ascii="黑体" w:hAnsi="黑体" w:eastAsia="黑体"/>
          <w:sz w:val="24"/>
        </w:rPr>
        <w:t>/</w:t>
      </w:r>
      <w:r>
        <w:rPr>
          <w:rFonts w:hint="eastAsia" w:ascii="黑体" w:hAnsi="黑体" w:eastAsia="黑体"/>
          <w:sz w:val="24"/>
        </w:rPr>
        <w:t>甲方指定账户：指甲方开立的用于本产品资金划转的银行账户，资金划转行为包括但不限于认（申）购时的本金扣划，赎回</w:t>
      </w:r>
      <w:r>
        <w:rPr>
          <w:rFonts w:ascii="黑体" w:hAnsi="黑体" w:eastAsia="黑体"/>
          <w:sz w:val="24"/>
        </w:rPr>
        <w:t>/</w:t>
      </w:r>
      <w:r>
        <w:rPr>
          <w:rFonts w:hint="eastAsia" w:ascii="黑体" w:hAnsi="黑体" w:eastAsia="黑体"/>
          <w:sz w:val="24"/>
        </w:rPr>
        <w:t>到期时的本金（如有）及收益（如有）划付</w:t>
      </w:r>
      <w:r>
        <w:rPr>
          <w:rStyle w:val="9dd46c74"/>
          <w:rFonts w:hint="eastAsia" w:ascii="黑体" w:hAnsi="黑体" w:eastAsia="黑体"/>
          <w:sz w:val="24"/>
          <w:szCs w:val="24"/>
        </w:rPr>
        <w:t>等</w:t>
      </w:r>
      <w:r>
        <w:rPr>
          <w:rFonts w:hint="eastAsia" w:ascii="黑体" w:hAnsi="黑体" w:eastAsia="黑体"/>
          <w:sz w:val="24"/>
        </w:rPr>
        <w:t>。</w:t>
      </w:r>
    </w:p>
    <w:p w14:paraId="140698A1">
      <w:pPr>
        <w:pStyle w:val="e8fd2d8b"/>
        <w:adjustRightInd w:val="0"/>
        <w:snapToGrid w:val="0"/>
        <w:spacing w:line="312" w:lineRule="auto"/>
        <w:ind w:firstLine="480" w:firstLineChars="200"/>
        <w:rPr>
          <w:rFonts w:ascii="黑体" w:hAnsi="黑体" w:eastAsia="黑体"/>
          <w:sz w:val="24"/>
        </w:rPr>
      </w:pPr>
      <w:r>
        <w:rPr>
          <w:rFonts w:hint="eastAsia" w:ascii="黑体" w:hAnsi="黑体" w:eastAsia="黑体"/>
          <w:sz w:val="24"/>
        </w:rPr>
        <w:t>（四）募集期：是指</w:t>
      </w:r>
      <w:r>
        <w:rPr>
          <w:rFonts w:hint="eastAsia" w:ascii="黑体" w:hAnsi="黑体" w:eastAsia="黑体"/>
          <w:color w:val="000000"/>
          <w:sz w:val="24"/>
        </w:rPr>
        <w:t>产品管理人</w:t>
      </w:r>
      <w:r>
        <w:rPr>
          <w:rFonts w:hint="eastAsia" w:ascii="黑体" w:hAnsi="黑体" w:eastAsia="黑体"/>
          <w:sz w:val="24"/>
        </w:rPr>
        <w:t>确定的可接受投资者对于理财产品认购申请的时间区间。</w:t>
      </w:r>
    </w:p>
    <w:p w14:paraId="5BF97D44">
      <w:pPr>
        <w:pStyle w:val="e8fd2d8b"/>
        <w:adjustRightInd w:val="0"/>
        <w:snapToGrid w:val="0"/>
        <w:spacing w:line="312" w:lineRule="auto"/>
        <w:ind w:firstLine="480" w:firstLineChars="200"/>
        <w:rPr>
          <w:rFonts w:ascii="黑体" w:hAnsi="黑体" w:eastAsia="黑体"/>
          <w:sz w:val="24"/>
        </w:rPr>
      </w:pPr>
      <w:r>
        <w:rPr>
          <w:rFonts w:hint="eastAsia" w:ascii="黑体" w:hAnsi="黑体" w:eastAsia="黑体"/>
          <w:sz w:val="24"/>
        </w:rPr>
        <w:t>（五）工作日：详见《理财产品说明书》。</w:t>
      </w:r>
    </w:p>
    <w:p w14:paraId="49DBF4CB">
      <w:pPr>
        <w:pStyle w:val="e8fd2d8b"/>
        <w:adjustRightInd w:val="0"/>
        <w:snapToGrid w:val="0"/>
        <w:spacing w:line="312" w:lineRule="auto"/>
        <w:ind w:firstLine="480" w:firstLineChars="200"/>
        <w:rPr>
          <w:rFonts w:ascii="黑体" w:hAnsi="黑体" w:eastAsia="黑体"/>
          <w:color w:val="000000"/>
          <w:sz w:val="24"/>
        </w:rPr>
      </w:pPr>
      <w:r>
        <w:rPr>
          <w:rFonts w:hint="eastAsia" w:ascii="黑体" w:hAnsi="黑体" w:eastAsia="黑体"/>
          <w:color w:val="000000"/>
          <w:sz w:val="24"/>
        </w:rPr>
        <w:t>（六）产品成立日：指理财产品的投资运作</w:t>
      </w:r>
      <w:r>
        <w:rPr>
          <w:rFonts w:ascii="黑体" w:hAnsi="黑体" w:eastAsia="黑体"/>
          <w:color w:val="000000"/>
          <w:sz w:val="24"/>
        </w:rPr>
        <w:t>起始日</w:t>
      </w:r>
      <w:r>
        <w:rPr>
          <w:rFonts w:hint="eastAsia" w:ascii="黑体" w:hAnsi="黑体" w:eastAsia="黑体"/>
          <w:color w:val="000000"/>
          <w:sz w:val="24"/>
        </w:rPr>
        <w:t>。</w:t>
      </w:r>
    </w:p>
    <w:p w14:paraId="3FFDF8D8">
      <w:pPr>
        <w:pStyle w:val="e8fd2d8b"/>
        <w:adjustRightInd w:val="0"/>
        <w:snapToGrid w:val="0"/>
        <w:spacing w:line="312" w:lineRule="auto"/>
        <w:ind w:firstLine="480" w:firstLineChars="200"/>
        <w:rPr>
          <w:rFonts w:ascii="黑体" w:hAnsi="黑体" w:eastAsia="黑体"/>
          <w:sz w:val="24"/>
        </w:rPr>
      </w:pPr>
      <w:r>
        <w:rPr>
          <w:rFonts w:hint="eastAsia" w:ascii="黑体" w:hAnsi="黑体" w:eastAsia="黑体"/>
          <w:sz w:val="24"/>
        </w:rPr>
        <w:t>（七）开放日：</w:t>
      </w:r>
      <w:r>
        <w:rPr>
          <w:rFonts w:hint="eastAsia" w:ascii="黑体" w:hAnsi="黑体" w:eastAsia="黑体"/>
          <w:color w:val="000000"/>
          <w:sz w:val="24"/>
        </w:rPr>
        <w:t>产品管理人</w:t>
      </w:r>
      <w:r>
        <w:rPr>
          <w:rFonts w:hint="eastAsia" w:ascii="黑体" w:hAnsi="黑体" w:eastAsia="黑体"/>
          <w:sz w:val="24"/>
        </w:rPr>
        <w:t>发行的开放式理财产品成立后，可供投资者进行申购</w:t>
      </w:r>
      <w:r>
        <w:rPr>
          <w:rFonts w:ascii="黑体" w:hAnsi="黑体" w:eastAsia="黑体"/>
          <w:sz w:val="24"/>
        </w:rPr>
        <w:t>、赎回</w:t>
      </w:r>
      <w:r>
        <w:rPr>
          <w:rFonts w:hint="eastAsia" w:ascii="黑体" w:hAnsi="黑体" w:eastAsia="黑体"/>
          <w:sz w:val="24"/>
        </w:rPr>
        <w:t>等交易的日期。</w:t>
      </w:r>
    </w:p>
    <w:p w14:paraId="348CFE27">
      <w:pPr>
        <w:pStyle w:val="e8fd2d8b"/>
        <w:adjustRightInd w:val="0"/>
        <w:snapToGrid w:val="0"/>
        <w:spacing w:line="312" w:lineRule="auto"/>
        <w:ind w:firstLine="480" w:firstLineChars="200"/>
        <w:rPr>
          <w:rFonts w:ascii="黑体" w:hAnsi="黑体" w:eastAsia="黑体"/>
          <w:sz w:val="24"/>
        </w:rPr>
      </w:pPr>
      <w:r>
        <w:rPr>
          <w:rFonts w:hint="eastAsia" w:ascii="黑体" w:hAnsi="黑体" w:eastAsia="黑体"/>
          <w:sz w:val="24"/>
        </w:rPr>
        <w:t>（</w:t>
      </w:r>
      <w:r>
        <w:rPr>
          <w:rFonts w:hint="eastAsia" w:ascii="黑体" w:hAnsi="黑体" w:eastAsia="黑体"/>
          <w:color w:val="000000"/>
          <w:sz w:val="24"/>
        </w:rPr>
        <w:t>八</w:t>
      </w:r>
      <w:r>
        <w:rPr>
          <w:rFonts w:hint="eastAsia" w:ascii="黑体" w:hAnsi="黑体" w:eastAsia="黑体"/>
          <w:sz w:val="24"/>
        </w:rPr>
        <w:t>）申购开放日：</w:t>
      </w:r>
      <w:r>
        <w:rPr>
          <w:rFonts w:hint="eastAsia" w:ascii="黑体" w:hAnsi="黑体" w:eastAsia="黑体"/>
          <w:color w:val="000000"/>
          <w:sz w:val="24"/>
        </w:rPr>
        <w:t>产品管理人</w:t>
      </w:r>
      <w:r>
        <w:rPr>
          <w:rFonts w:hint="eastAsia" w:ascii="黑体" w:hAnsi="黑体" w:eastAsia="黑体"/>
          <w:sz w:val="24"/>
        </w:rPr>
        <w:t>发行的开放式理财产品成立后，可供投资者进行申购交易的日期。</w:t>
      </w:r>
    </w:p>
    <w:p w14:paraId="51634A5A">
      <w:pPr>
        <w:pStyle w:val="e8fd2d8b"/>
        <w:adjustRightInd w:val="0"/>
        <w:snapToGrid w:val="0"/>
        <w:spacing w:line="312" w:lineRule="auto"/>
        <w:ind w:firstLine="480" w:firstLineChars="200"/>
        <w:rPr>
          <w:rFonts w:ascii="黑体" w:hAnsi="黑体" w:eastAsia="黑体"/>
          <w:sz w:val="24"/>
        </w:rPr>
      </w:pPr>
      <w:r>
        <w:rPr>
          <w:rFonts w:hint="eastAsia" w:ascii="黑体" w:hAnsi="黑体" w:eastAsia="黑体"/>
          <w:sz w:val="24"/>
        </w:rPr>
        <w:t>（</w:t>
      </w:r>
      <w:r>
        <w:rPr>
          <w:rFonts w:hint="eastAsia" w:ascii="黑体" w:hAnsi="黑体" w:eastAsia="黑体"/>
          <w:color w:val="000000"/>
          <w:sz w:val="24"/>
        </w:rPr>
        <w:t>九</w:t>
      </w:r>
      <w:r>
        <w:rPr>
          <w:rFonts w:hint="eastAsia" w:ascii="黑体" w:hAnsi="黑体" w:eastAsia="黑体"/>
          <w:sz w:val="24"/>
        </w:rPr>
        <w:t>）认购：甲方在</w:t>
      </w:r>
      <w:r>
        <w:rPr>
          <w:rFonts w:ascii="黑体" w:hAnsi="黑体" w:eastAsia="黑体"/>
          <w:sz w:val="24"/>
        </w:rPr>
        <w:t>募集期</w:t>
      </w:r>
      <w:r>
        <w:rPr>
          <w:rFonts w:hint="eastAsia" w:ascii="黑体" w:hAnsi="黑体" w:eastAsia="黑体"/>
          <w:sz w:val="24"/>
        </w:rPr>
        <w:t>申请购买理财产品份额的</w:t>
      </w:r>
      <w:r>
        <w:rPr>
          <w:rFonts w:ascii="黑体" w:hAnsi="黑体" w:eastAsia="黑体"/>
          <w:sz w:val="24"/>
        </w:rPr>
        <w:t>行为</w:t>
      </w:r>
      <w:r>
        <w:rPr>
          <w:rFonts w:hint="eastAsia" w:ascii="黑体" w:hAnsi="黑体" w:eastAsia="黑体"/>
          <w:sz w:val="24"/>
        </w:rPr>
        <w:t>。</w:t>
      </w:r>
    </w:p>
    <w:p w14:paraId="359BA06B">
      <w:pPr>
        <w:pStyle w:val="e8fd2d8b"/>
        <w:adjustRightInd w:val="0"/>
        <w:snapToGrid w:val="0"/>
        <w:spacing w:line="312" w:lineRule="auto"/>
        <w:ind w:firstLine="480" w:firstLineChars="200"/>
        <w:jc w:val="left"/>
        <w:rPr>
          <w:rFonts w:ascii="黑体" w:hAnsi="黑体" w:eastAsia="黑体"/>
          <w:color w:val="000000"/>
          <w:sz w:val="24"/>
        </w:rPr>
      </w:pPr>
      <w:r>
        <w:rPr>
          <w:rFonts w:hint="eastAsia" w:ascii="黑体" w:hAnsi="黑体" w:eastAsia="黑体"/>
          <w:color w:val="000000"/>
          <w:sz w:val="24"/>
        </w:rPr>
        <w:t>（十）申购</w:t>
      </w:r>
      <w:r>
        <w:rPr>
          <w:rFonts w:ascii="黑体" w:hAnsi="黑体" w:eastAsia="黑体"/>
          <w:color w:val="000000"/>
          <w:sz w:val="24"/>
        </w:rPr>
        <w:t>：</w:t>
      </w:r>
      <w:r>
        <w:rPr>
          <w:rFonts w:hint="eastAsia" w:ascii="黑体" w:hAnsi="黑体" w:eastAsia="黑体"/>
          <w:sz w:val="24"/>
        </w:rPr>
        <w:t>甲方在开放期申请购买理财产品份额的</w:t>
      </w:r>
      <w:r>
        <w:rPr>
          <w:rFonts w:ascii="黑体" w:hAnsi="黑体" w:eastAsia="黑体"/>
          <w:sz w:val="24"/>
        </w:rPr>
        <w:t>行为</w:t>
      </w:r>
      <w:r>
        <w:rPr>
          <w:rFonts w:hint="eastAsia" w:ascii="黑体" w:hAnsi="黑体" w:eastAsia="黑体"/>
          <w:sz w:val="24"/>
        </w:rPr>
        <w:t>。</w:t>
      </w:r>
    </w:p>
    <w:p w14:paraId="0990338B">
      <w:pPr>
        <w:pStyle w:val="e8fd2d8b"/>
        <w:widowControl/>
        <w:spacing w:line="360" w:lineRule="auto"/>
        <w:ind w:firstLine="480" w:firstLineChars="200"/>
        <w:jc w:val="left"/>
        <w:rPr>
          <w:rFonts w:ascii="黑体" w:hAnsi="黑体" w:eastAsia="黑体" w:cs="宋体"/>
          <w:kern w:val="0"/>
          <w:sz w:val="24"/>
        </w:rPr>
      </w:pPr>
      <w:r>
        <w:rPr>
          <w:rFonts w:hint="eastAsia" w:ascii="黑体" w:hAnsi="黑体" w:eastAsia="黑体"/>
          <w:color w:val="000000"/>
          <w:sz w:val="24"/>
        </w:rPr>
        <w:t>（十一）赎回：</w:t>
      </w:r>
      <w:r>
        <w:rPr>
          <w:rFonts w:hint="eastAsia" w:ascii="黑体" w:hAnsi="黑体" w:eastAsia="黑体"/>
          <w:sz w:val="24"/>
        </w:rPr>
        <w:t>甲方在开放期申请赎回理财产品份额的行为。</w:t>
      </w:r>
    </w:p>
    <w:p w14:paraId="6461F507">
      <w:pPr>
        <w:pStyle w:val="e8fd2d8b"/>
        <w:adjustRightInd w:val="0"/>
        <w:snapToGrid w:val="0"/>
        <w:spacing w:line="360" w:lineRule="auto"/>
        <w:ind w:firstLine="480" w:firstLineChars="200"/>
        <w:jc w:val="left"/>
        <w:rPr>
          <w:rFonts w:ascii="黑体" w:hAnsi="黑体" w:eastAsia="黑体"/>
          <w:color w:val="000000"/>
          <w:sz w:val="24"/>
        </w:rPr>
      </w:pPr>
      <w:r>
        <w:rPr>
          <w:rFonts w:hint="eastAsia" w:ascii="黑体" w:hAnsi="黑体" w:eastAsia="黑体"/>
          <w:color w:val="000000"/>
          <w:sz w:val="24"/>
        </w:rPr>
        <w:t>（十二）到期日：指理财</w:t>
      </w:r>
      <w:r>
        <w:rPr>
          <w:rFonts w:ascii="黑体" w:hAnsi="黑体" w:eastAsia="黑体"/>
          <w:color w:val="000000"/>
          <w:sz w:val="24"/>
        </w:rPr>
        <w:t>产品的投资运作终止日</w:t>
      </w:r>
      <w:r>
        <w:rPr>
          <w:rFonts w:hint="eastAsia" w:ascii="黑体" w:hAnsi="黑体" w:eastAsia="黑体"/>
          <w:color w:val="000000"/>
          <w:sz w:val="24"/>
        </w:rPr>
        <w:t>。</w:t>
      </w:r>
    </w:p>
    <w:p w14:paraId="6E1FC5F1">
      <w:pPr>
        <w:pStyle w:val="e8fd2d8b"/>
        <w:adjustRightInd w:val="0"/>
        <w:snapToGrid w:val="0"/>
        <w:spacing w:line="312" w:lineRule="auto"/>
        <w:ind w:firstLine="480" w:firstLineChars="200"/>
        <w:jc w:val="left"/>
        <w:rPr>
          <w:rFonts w:ascii="黑体" w:hAnsi="黑体" w:eastAsia="黑体"/>
          <w:color w:val="000000"/>
          <w:sz w:val="24"/>
        </w:rPr>
      </w:pPr>
      <w:r>
        <w:rPr>
          <w:rFonts w:hint="eastAsia" w:ascii="黑体" w:hAnsi="黑体" w:eastAsia="黑体"/>
          <w:color w:val="000000"/>
          <w:sz w:val="24"/>
        </w:rPr>
        <w:t>（十三</w:t>
      </w:r>
      <w:r>
        <w:rPr>
          <w:rFonts w:ascii="黑体" w:hAnsi="黑体" w:eastAsia="黑体"/>
          <w:color w:val="000000"/>
          <w:sz w:val="24"/>
        </w:rPr>
        <w:t>）</w:t>
      </w:r>
      <w:r>
        <w:rPr>
          <w:rFonts w:hint="eastAsia" w:ascii="黑体" w:hAnsi="黑体" w:eastAsia="黑体"/>
          <w:color w:val="000000"/>
          <w:sz w:val="24"/>
        </w:rPr>
        <w:t>资金清算日：理财产品的本金（</w:t>
      </w:r>
      <w:r>
        <w:rPr>
          <w:rFonts w:ascii="黑体" w:hAnsi="黑体" w:eastAsia="黑体"/>
          <w:color w:val="000000"/>
          <w:sz w:val="24"/>
        </w:rPr>
        <w:t>若有）</w:t>
      </w:r>
      <w:r>
        <w:rPr>
          <w:rFonts w:hint="eastAsia" w:ascii="黑体" w:hAnsi="黑体" w:eastAsia="黑体"/>
          <w:color w:val="000000"/>
          <w:sz w:val="24"/>
        </w:rPr>
        <w:t>和收益（</w:t>
      </w:r>
      <w:r>
        <w:rPr>
          <w:rFonts w:ascii="黑体" w:hAnsi="黑体" w:eastAsia="黑体"/>
          <w:color w:val="000000"/>
          <w:sz w:val="24"/>
        </w:rPr>
        <w:t>若有）</w:t>
      </w:r>
      <w:r>
        <w:rPr>
          <w:rFonts w:hint="eastAsia" w:ascii="黑体" w:hAnsi="黑体" w:eastAsia="黑体"/>
          <w:color w:val="000000"/>
          <w:sz w:val="24"/>
        </w:rPr>
        <w:t>划向甲方指定账户的日期。</w:t>
      </w:r>
    </w:p>
    <w:p w14:paraId="30E1D025">
      <w:pPr>
        <w:pStyle w:val="e8fd2d8b"/>
        <w:adjustRightInd w:val="0"/>
        <w:snapToGrid w:val="0"/>
        <w:spacing w:line="312" w:lineRule="auto"/>
        <w:ind w:firstLine="480" w:firstLineChars="200"/>
        <w:jc w:val="left"/>
        <w:rPr>
          <w:rFonts w:ascii="黑体" w:hAnsi="黑体" w:eastAsia="黑体" w:cs="宋体"/>
          <w:kern w:val="0"/>
          <w:sz w:val="24"/>
        </w:rPr>
      </w:pPr>
      <w:r>
        <w:rPr>
          <w:rFonts w:hint="eastAsia" w:ascii="黑体" w:hAnsi="黑体" w:eastAsia="黑体"/>
          <w:color w:val="000000"/>
          <w:sz w:val="24"/>
        </w:rPr>
        <w:t>（十四）单位净值：指理财产品份额的单位净值，即每一份理财计划份额以人民币或其他币种计价的价格。</w:t>
      </w:r>
    </w:p>
    <w:p w14:paraId="2A7B0996">
      <w:pPr>
        <w:pStyle w:val="e8fd2d8b"/>
        <w:adjustRightInd w:val="0"/>
        <w:snapToGrid w:val="0"/>
        <w:spacing w:line="312" w:lineRule="auto"/>
        <w:ind w:firstLine="480" w:firstLineChars="200"/>
        <w:jc w:val="left"/>
        <w:rPr>
          <w:rFonts w:ascii="黑体" w:hAnsi="黑体" w:eastAsia="黑体" w:cs="宋体"/>
          <w:color w:val="000000"/>
          <w:kern w:val="0"/>
          <w:sz w:val="22"/>
        </w:rPr>
      </w:pPr>
      <w:r>
        <w:rPr>
          <w:rFonts w:hint="eastAsia" w:ascii="黑体" w:hAnsi="黑体" w:eastAsia="黑体"/>
          <w:color w:val="000000"/>
          <w:sz w:val="24"/>
        </w:rPr>
        <w:t>（十五）累计净值：指理财产品份额的单位净值与产品成立后历次累计单位收益分配的总和。</w:t>
      </w:r>
    </w:p>
    <w:p w14:paraId="31A6435B">
      <w:pPr>
        <w:pStyle w:val="e8fd2d8b"/>
        <w:adjustRightInd w:val="0"/>
        <w:snapToGrid w:val="0"/>
        <w:spacing w:line="312" w:lineRule="auto"/>
        <w:ind w:firstLine="480" w:firstLineChars="200"/>
        <w:jc w:val="left"/>
        <w:rPr>
          <w:rFonts w:ascii="黑体" w:hAnsi="黑体" w:eastAsia="黑体"/>
          <w:color w:val="000000"/>
          <w:sz w:val="24"/>
        </w:rPr>
      </w:pPr>
      <w:r>
        <w:rPr>
          <w:rFonts w:hint="eastAsia" w:ascii="黑体" w:hAnsi="黑体" w:eastAsia="黑体"/>
          <w:color w:val="000000"/>
          <w:sz w:val="24"/>
        </w:rPr>
        <w:t>（十六）提前</w:t>
      </w:r>
      <w:r>
        <w:rPr>
          <w:rFonts w:ascii="黑体" w:hAnsi="黑体" w:eastAsia="黑体"/>
          <w:color w:val="000000"/>
          <w:sz w:val="24"/>
        </w:rPr>
        <w:t>赎回权：</w:t>
      </w:r>
      <w:r>
        <w:rPr>
          <w:rFonts w:hint="eastAsia" w:ascii="黑体" w:hAnsi="黑体" w:eastAsia="黑体"/>
          <w:color w:val="000000"/>
          <w:sz w:val="24"/>
        </w:rPr>
        <w:t>在理财产品存续期内甲方按照理财产品销售文件约定提前赎回理财产品的</w:t>
      </w:r>
      <w:r>
        <w:rPr>
          <w:rFonts w:ascii="黑体" w:hAnsi="黑体" w:eastAsia="黑体"/>
          <w:color w:val="000000"/>
          <w:sz w:val="24"/>
        </w:rPr>
        <w:t>权利，</w:t>
      </w:r>
      <w:r>
        <w:rPr>
          <w:rFonts w:hint="eastAsia" w:ascii="黑体" w:hAnsi="黑体" w:eastAsia="黑体"/>
          <w:color w:val="000000"/>
          <w:sz w:val="24"/>
        </w:rPr>
        <w:t>甲方具体是否享有</w:t>
      </w:r>
      <w:r>
        <w:rPr>
          <w:rFonts w:ascii="黑体" w:hAnsi="黑体" w:eastAsia="黑体"/>
          <w:color w:val="000000"/>
          <w:sz w:val="24"/>
        </w:rPr>
        <w:t>理财产品的提前赎回权</w:t>
      </w:r>
      <w:r>
        <w:rPr>
          <w:rFonts w:hint="eastAsia" w:ascii="黑体" w:hAnsi="黑体" w:eastAsia="黑体"/>
          <w:color w:val="000000"/>
          <w:sz w:val="24"/>
        </w:rPr>
        <w:t>及</w:t>
      </w:r>
      <w:r>
        <w:rPr>
          <w:rFonts w:ascii="黑体" w:hAnsi="黑体" w:eastAsia="黑体"/>
          <w:color w:val="000000"/>
          <w:sz w:val="24"/>
        </w:rPr>
        <w:t>行使</w:t>
      </w:r>
      <w:r>
        <w:rPr>
          <w:rFonts w:hint="eastAsia" w:ascii="黑体" w:hAnsi="黑体" w:eastAsia="黑体"/>
          <w:color w:val="000000"/>
          <w:sz w:val="24"/>
        </w:rPr>
        <w:t>权利</w:t>
      </w:r>
      <w:r>
        <w:rPr>
          <w:rFonts w:ascii="黑体" w:hAnsi="黑体" w:eastAsia="黑体"/>
          <w:color w:val="000000"/>
          <w:sz w:val="24"/>
        </w:rPr>
        <w:t>的条件和内容</w:t>
      </w:r>
      <w:r>
        <w:rPr>
          <w:rFonts w:hint="eastAsia" w:ascii="黑体" w:hAnsi="黑体" w:eastAsia="黑体"/>
          <w:color w:val="000000"/>
          <w:sz w:val="24"/>
        </w:rPr>
        <w:t>，依据《理财产品说明书》的</w:t>
      </w:r>
      <w:r>
        <w:rPr>
          <w:rFonts w:ascii="黑体" w:hAnsi="黑体" w:eastAsia="黑体"/>
          <w:color w:val="000000"/>
          <w:sz w:val="24"/>
        </w:rPr>
        <w:t>约定</w:t>
      </w:r>
      <w:r>
        <w:rPr>
          <w:rFonts w:hint="eastAsia" w:ascii="黑体" w:hAnsi="黑体" w:eastAsia="黑体"/>
          <w:color w:val="000000"/>
          <w:sz w:val="24"/>
        </w:rPr>
        <w:t>。</w:t>
      </w:r>
    </w:p>
    <w:p w14:paraId="712C4E5E">
      <w:pPr>
        <w:pStyle w:val="e8fd2d8b"/>
        <w:adjustRightInd w:val="0"/>
        <w:snapToGrid w:val="0"/>
        <w:spacing w:line="312" w:lineRule="auto"/>
        <w:ind w:firstLine="480" w:firstLineChars="200"/>
        <w:jc w:val="left"/>
        <w:rPr>
          <w:rFonts w:ascii="黑体" w:hAnsi="黑体" w:eastAsia="黑体"/>
          <w:color w:val="000000"/>
          <w:sz w:val="24"/>
        </w:rPr>
      </w:pPr>
      <w:r>
        <w:rPr>
          <w:rFonts w:hint="eastAsia" w:ascii="黑体" w:hAnsi="黑体" w:eastAsia="黑体"/>
          <w:color w:val="000000"/>
          <w:sz w:val="24"/>
        </w:rPr>
        <w:t>（十七）提前终止权：在理财产品存续期内产品管理人按照理财产品销售文件约定提前终止理财产品的权利，产品管理人</w:t>
      </w:r>
      <w:r>
        <w:rPr>
          <w:rFonts w:ascii="黑体" w:hAnsi="黑体" w:eastAsia="黑体"/>
          <w:color w:val="000000"/>
          <w:sz w:val="24"/>
        </w:rPr>
        <w:t>具体是否</w:t>
      </w:r>
      <w:r>
        <w:rPr>
          <w:rFonts w:hint="eastAsia" w:ascii="黑体" w:hAnsi="黑体" w:eastAsia="黑体"/>
          <w:color w:val="000000"/>
          <w:sz w:val="24"/>
        </w:rPr>
        <w:t>享有</w:t>
      </w:r>
      <w:r>
        <w:rPr>
          <w:rFonts w:ascii="黑体" w:hAnsi="黑体" w:eastAsia="黑体"/>
          <w:color w:val="000000"/>
          <w:sz w:val="24"/>
        </w:rPr>
        <w:t>理财产品的提前终止权</w:t>
      </w:r>
      <w:r>
        <w:rPr>
          <w:rFonts w:hint="eastAsia" w:ascii="黑体" w:hAnsi="黑体" w:eastAsia="黑体"/>
          <w:color w:val="000000"/>
          <w:sz w:val="24"/>
        </w:rPr>
        <w:t>及行使权利的条件和内容，依据《理财产品说明书》的</w:t>
      </w:r>
      <w:r>
        <w:rPr>
          <w:rFonts w:ascii="黑体" w:hAnsi="黑体" w:eastAsia="黑体"/>
          <w:color w:val="000000"/>
          <w:sz w:val="24"/>
        </w:rPr>
        <w:t>约定</w:t>
      </w:r>
      <w:r>
        <w:rPr>
          <w:rFonts w:hint="eastAsia" w:ascii="黑体" w:hAnsi="黑体" w:eastAsia="黑体"/>
          <w:color w:val="000000"/>
          <w:sz w:val="24"/>
        </w:rPr>
        <w:t>。</w:t>
      </w:r>
    </w:p>
    <w:p w14:paraId="35897452">
      <w:pPr>
        <w:pStyle w:val="e8fd2d8b"/>
        <w:adjustRightInd w:val="0"/>
        <w:snapToGrid w:val="0"/>
        <w:spacing w:line="312" w:lineRule="auto"/>
        <w:ind w:firstLine="480" w:firstLineChars="200"/>
        <w:jc w:val="left"/>
        <w:rPr>
          <w:rFonts w:ascii="黑体" w:hAnsi="黑体" w:eastAsia="黑体"/>
          <w:color w:val="000000"/>
          <w:sz w:val="24"/>
        </w:rPr>
      </w:pPr>
      <w:r>
        <w:rPr>
          <w:rFonts w:hint="eastAsia" w:ascii="黑体" w:hAnsi="黑体" w:eastAsia="黑体"/>
          <w:color w:val="000000"/>
          <w:sz w:val="24"/>
        </w:rPr>
        <w:t>（十八）代理销售机构：指根据产品管理人委托，代理销售理财产品的机构。</w:t>
      </w:r>
    </w:p>
    <w:p w14:paraId="2D89AB8C">
      <w:pPr>
        <w:pStyle w:val="e8fd2d8b"/>
        <w:adjustRightInd w:val="0"/>
        <w:snapToGrid w:val="0"/>
        <w:spacing w:line="312" w:lineRule="auto"/>
        <w:ind w:firstLine="480" w:firstLineChars="200"/>
        <w:jc w:val="left"/>
        <w:rPr>
          <w:rFonts w:ascii="黑体" w:hAnsi="黑体" w:eastAsia="黑体"/>
          <w:color w:val="000000"/>
          <w:sz w:val="24"/>
        </w:rPr>
      </w:pPr>
      <w:r>
        <w:rPr>
          <w:rFonts w:hint="eastAsia" w:ascii="黑体" w:hAnsi="黑体" w:eastAsia="黑体"/>
          <w:color w:val="000000"/>
          <w:sz w:val="24"/>
        </w:rPr>
        <w:t>（</w:t>
      </w:r>
      <w:r>
        <w:rPr>
          <w:rFonts w:hint="eastAsia" w:ascii="黑体" w:hAnsi="黑体" w:eastAsia="黑体"/>
          <w:sz w:val="24"/>
        </w:rPr>
        <w:t>十九</w:t>
      </w:r>
      <w:r>
        <w:rPr>
          <w:rFonts w:hint="eastAsia" w:ascii="黑体" w:hAnsi="黑体" w:eastAsia="黑体"/>
          <w:color w:val="000000"/>
          <w:sz w:val="24"/>
        </w:rPr>
        <w:t>）销售机构：指根据产品管理人委托，可以销售本理财产品的机构，包括产品管理人和代理销售机构。</w:t>
      </w:r>
    </w:p>
    <w:p w14:paraId="5EB3B00E">
      <w:pPr>
        <w:pStyle w:val="e8fd2d8b"/>
        <w:adjustRightInd w:val="0"/>
        <w:snapToGrid w:val="0"/>
        <w:spacing w:line="312" w:lineRule="auto"/>
        <w:ind w:firstLine="480" w:firstLineChars="200"/>
        <w:jc w:val="left"/>
        <w:rPr>
          <w:rFonts w:ascii="黑体" w:hAnsi="黑体" w:eastAsia="黑体"/>
          <w:sz w:val="24"/>
        </w:rPr>
      </w:pPr>
      <w:r>
        <w:rPr>
          <w:rFonts w:hint="eastAsia" w:ascii="黑体" w:hAnsi="黑体" w:eastAsia="黑体"/>
          <w:sz w:val="24"/>
        </w:rPr>
        <w:t>（二十）线下渠道：包括但</w:t>
      </w:r>
      <w:r>
        <w:rPr>
          <w:rFonts w:ascii="黑体" w:hAnsi="黑体" w:eastAsia="黑体"/>
          <w:sz w:val="24"/>
        </w:rPr>
        <w:t>不限于</w:t>
      </w:r>
      <w:r>
        <w:rPr>
          <w:rFonts w:hint="eastAsia" w:ascii="黑体" w:hAnsi="黑体" w:eastAsia="黑体"/>
          <w:color w:val="000000"/>
          <w:sz w:val="24"/>
        </w:rPr>
        <w:t>销售机构</w:t>
      </w:r>
      <w:r>
        <w:rPr>
          <w:rFonts w:ascii="黑体" w:hAnsi="黑体" w:eastAsia="黑体"/>
          <w:sz w:val="24"/>
        </w:rPr>
        <w:t>的</w:t>
      </w:r>
      <w:r>
        <w:rPr>
          <w:rFonts w:hint="eastAsia" w:ascii="黑体" w:hAnsi="黑体" w:eastAsia="黑体"/>
          <w:sz w:val="24"/>
        </w:rPr>
        <w:t>营业网点</w:t>
      </w:r>
      <w:r>
        <w:rPr>
          <w:rFonts w:ascii="黑体" w:hAnsi="黑体" w:eastAsia="黑体"/>
          <w:sz w:val="24"/>
        </w:rPr>
        <w:t>等具有实体营销场所的</w:t>
      </w:r>
      <w:r>
        <w:rPr>
          <w:rFonts w:hint="eastAsia" w:ascii="黑体" w:hAnsi="黑体" w:eastAsia="黑体"/>
          <w:sz w:val="24"/>
        </w:rPr>
        <w:t>销售</w:t>
      </w:r>
      <w:r>
        <w:rPr>
          <w:rFonts w:ascii="黑体" w:hAnsi="黑体" w:eastAsia="黑体"/>
          <w:sz w:val="24"/>
        </w:rPr>
        <w:t>渠道。</w:t>
      </w:r>
    </w:p>
    <w:p w14:paraId="31912E1A">
      <w:pPr>
        <w:pStyle w:val="e8fd2d8b"/>
        <w:adjustRightInd w:val="0"/>
        <w:snapToGrid w:val="0"/>
        <w:spacing w:line="312" w:lineRule="auto"/>
        <w:ind w:firstLine="480" w:firstLineChars="200"/>
        <w:jc w:val="left"/>
        <w:rPr>
          <w:rFonts w:ascii="黑体" w:hAnsi="黑体" w:eastAsia="黑体"/>
          <w:sz w:val="24"/>
        </w:rPr>
      </w:pPr>
      <w:r>
        <w:rPr>
          <w:rFonts w:hint="eastAsia" w:ascii="黑体" w:hAnsi="黑体" w:eastAsia="黑体"/>
          <w:sz w:val="24"/>
        </w:rPr>
        <w:t>（二十一</w:t>
      </w:r>
      <w:r>
        <w:rPr>
          <w:rFonts w:ascii="黑体" w:hAnsi="黑体" w:eastAsia="黑体"/>
          <w:sz w:val="24"/>
        </w:rPr>
        <w:t>）</w:t>
      </w:r>
      <w:r>
        <w:rPr>
          <w:rFonts w:hint="eastAsia" w:ascii="黑体" w:hAnsi="黑体" w:eastAsia="黑体"/>
          <w:sz w:val="24"/>
        </w:rPr>
        <w:t>线上渠道</w:t>
      </w:r>
      <w:r>
        <w:rPr>
          <w:rFonts w:ascii="黑体" w:hAnsi="黑体" w:eastAsia="黑体"/>
          <w:sz w:val="24"/>
        </w:rPr>
        <w:t>：</w:t>
      </w:r>
      <w:r>
        <w:rPr>
          <w:rFonts w:hint="eastAsia" w:ascii="黑体" w:hAnsi="黑体" w:eastAsia="黑体"/>
          <w:sz w:val="24"/>
        </w:rPr>
        <w:t>包括</w:t>
      </w:r>
      <w:r>
        <w:rPr>
          <w:rFonts w:ascii="黑体" w:hAnsi="黑体" w:eastAsia="黑体"/>
          <w:sz w:val="24"/>
        </w:rPr>
        <w:t>但不限于</w:t>
      </w:r>
      <w:r>
        <w:rPr>
          <w:rFonts w:hint="eastAsia" w:ascii="黑体" w:hAnsi="黑体" w:eastAsia="黑体"/>
          <w:color w:val="000000"/>
          <w:sz w:val="24"/>
        </w:rPr>
        <w:t>销售机构</w:t>
      </w:r>
      <w:r>
        <w:rPr>
          <w:rFonts w:ascii="黑体" w:hAnsi="黑体" w:eastAsia="黑体"/>
          <w:sz w:val="24"/>
        </w:rPr>
        <w:t>的</w:t>
      </w:r>
      <w:r>
        <w:rPr>
          <w:rFonts w:hint="eastAsia" w:ascii="黑体" w:hAnsi="黑体" w:eastAsia="黑体"/>
          <w:sz w:val="24"/>
        </w:rPr>
        <w:t>网上销售</w:t>
      </w:r>
      <w:r>
        <w:rPr>
          <w:rFonts w:ascii="黑体" w:hAnsi="黑体" w:eastAsia="黑体"/>
          <w:sz w:val="24"/>
        </w:rPr>
        <w:t>平台、手机</w:t>
      </w:r>
      <w:r>
        <w:rPr>
          <w:rFonts w:hint="eastAsia" w:ascii="黑体" w:hAnsi="黑体" w:eastAsia="黑体"/>
          <w:sz w:val="24"/>
        </w:rPr>
        <w:t>销售</w:t>
      </w:r>
      <w:r>
        <w:rPr>
          <w:rFonts w:ascii="黑体" w:hAnsi="黑体" w:eastAsia="黑体"/>
          <w:sz w:val="24"/>
        </w:rPr>
        <w:t>平台</w:t>
      </w:r>
      <w:r>
        <w:rPr>
          <w:rFonts w:hint="eastAsia" w:ascii="黑体" w:hAnsi="黑体" w:eastAsia="黑体"/>
          <w:sz w:val="24"/>
        </w:rPr>
        <w:t>等不</w:t>
      </w:r>
      <w:r>
        <w:rPr>
          <w:rFonts w:ascii="黑体" w:hAnsi="黑体" w:eastAsia="黑体"/>
          <w:sz w:val="24"/>
        </w:rPr>
        <w:t>具有实体营销场所的</w:t>
      </w:r>
      <w:r>
        <w:rPr>
          <w:rFonts w:hint="eastAsia" w:ascii="黑体" w:hAnsi="黑体" w:eastAsia="黑体"/>
          <w:sz w:val="24"/>
        </w:rPr>
        <w:t>销售</w:t>
      </w:r>
      <w:r>
        <w:rPr>
          <w:rFonts w:ascii="黑体" w:hAnsi="黑体" w:eastAsia="黑体"/>
          <w:sz w:val="24"/>
        </w:rPr>
        <w:t>渠道。</w:t>
      </w:r>
    </w:p>
    <w:p w14:paraId="5F41BE1B">
      <w:pPr>
        <w:pStyle w:val="e8fd2d8b"/>
        <w:adjustRightInd w:val="0"/>
        <w:snapToGrid w:val="0"/>
        <w:spacing w:line="312" w:lineRule="auto"/>
        <w:ind w:firstLine="480" w:firstLineChars="200"/>
        <w:jc w:val="left"/>
        <w:rPr>
          <w:rFonts w:ascii="黑体" w:hAnsi="黑体" w:eastAsia="黑体"/>
          <w:sz w:val="24"/>
        </w:rPr>
      </w:pPr>
      <w:r>
        <w:rPr>
          <w:rFonts w:hint="eastAsia" w:ascii="黑体" w:hAnsi="黑体" w:eastAsia="黑体"/>
          <w:sz w:val="24"/>
        </w:rPr>
        <w:t>（二十二</w:t>
      </w:r>
      <w:r>
        <w:rPr>
          <w:rFonts w:ascii="黑体" w:hAnsi="黑体" w:eastAsia="黑体"/>
          <w:sz w:val="24"/>
        </w:rPr>
        <w:t>）</w:t>
      </w:r>
      <w:r>
        <w:rPr>
          <w:rFonts w:hint="eastAsia" w:ascii="黑体" w:hAnsi="黑体" w:eastAsia="黑体"/>
          <w:sz w:val="24"/>
        </w:rPr>
        <w:t>理财产品销售</w:t>
      </w:r>
      <w:r>
        <w:rPr>
          <w:rFonts w:ascii="黑体" w:hAnsi="黑体" w:eastAsia="黑体"/>
          <w:sz w:val="24"/>
        </w:rPr>
        <w:t>文件：</w:t>
      </w:r>
      <w:r>
        <w:rPr>
          <w:rFonts w:hint="eastAsia" w:ascii="黑体" w:hAnsi="黑体" w:eastAsia="黑体"/>
          <w:sz w:val="24"/>
        </w:rPr>
        <w:t>包括《理财产品说明书》、《风险揭示书》、《销售（代理销售）协议书》、《投资协议书》和《投资者权益须知》等有关文件，以及对以上文件的有效修改或补充。</w:t>
      </w:r>
    </w:p>
    <w:p w14:paraId="2C15FBAE">
      <w:pPr>
        <w:pStyle w:val="e8fd2d8b"/>
        <w:adjustRightInd w:val="0"/>
        <w:snapToGrid w:val="0"/>
        <w:spacing w:line="312" w:lineRule="auto"/>
        <w:ind w:firstLine="480" w:firstLineChars="200"/>
        <w:jc w:val="left"/>
        <w:rPr>
          <w:rFonts w:ascii="黑体" w:hAnsi="黑体" w:eastAsia="黑体"/>
          <w:sz w:val="24"/>
        </w:rPr>
      </w:pPr>
      <w:r>
        <w:rPr>
          <w:rFonts w:hint="eastAsia" w:ascii="黑体" w:hAnsi="黑体" w:eastAsia="黑体"/>
          <w:sz w:val="24"/>
        </w:rPr>
        <w:t>（二十三）《理财产品说明书》：指《宁银理财宁欣固定收益类封闭式理财1</w:t>
      </w:r>
      <w:r>
        <w:rPr>
          <w:rFonts w:hint="eastAsia" w:ascii="黑体" w:hAnsi="黑体" w:eastAsia="黑体"/>
          <w:sz w:val="24"/>
          <w:lang w:val="en-US" w:eastAsia="zh-CN"/>
        </w:rPr>
        <w:t>899</w:t>
      </w:r>
      <w:r>
        <w:rPr>
          <w:rFonts w:hint="eastAsia" w:ascii="黑体" w:hAnsi="黑体" w:eastAsia="黑体"/>
          <w:sz w:val="24"/>
        </w:rPr>
        <w:t>号产品说明书》，以及对该文件的有效修改或补充。</w:t>
      </w:r>
    </w:p>
    <w:p w14:paraId="78FF99A0">
      <w:pPr>
        <w:pStyle w:val="e8fd2d8b"/>
        <w:adjustRightInd w:val="0"/>
        <w:snapToGrid w:val="0"/>
        <w:spacing w:line="312" w:lineRule="auto"/>
        <w:ind w:firstLine="480" w:firstLineChars="200"/>
        <w:jc w:val="left"/>
        <w:rPr>
          <w:rFonts w:ascii="黑体" w:hAnsi="黑体" w:eastAsia="黑体"/>
          <w:sz w:val="24"/>
        </w:rPr>
      </w:pPr>
      <w:r>
        <w:rPr>
          <w:rFonts w:hint="eastAsia" w:ascii="黑体" w:hAnsi="黑体" w:eastAsia="黑体"/>
          <w:sz w:val="24"/>
        </w:rPr>
        <w:t>（二十四）《风险揭示书》：指《宁银理财宁欣固定收益类封闭式理财1</w:t>
      </w:r>
      <w:r>
        <w:rPr>
          <w:rFonts w:hint="eastAsia" w:ascii="黑体" w:hAnsi="黑体" w:eastAsia="黑体"/>
          <w:sz w:val="24"/>
          <w:lang w:val="en-US" w:eastAsia="zh-CN"/>
        </w:rPr>
        <w:t>899</w:t>
      </w:r>
      <w:r>
        <w:rPr>
          <w:rFonts w:hint="eastAsia" w:ascii="黑体" w:hAnsi="黑体" w:eastAsia="黑体"/>
          <w:sz w:val="24"/>
        </w:rPr>
        <w:t>号产品风险揭示书》，以及对该文件的有效修改或补充。</w:t>
      </w:r>
    </w:p>
    <w:p w14:paraId="23F38176">
      <w:pPr>
        <w:pStyle w:val="e8fd2d8b"/>
        <w:adjustRightInd w:val="0"/>
        <w:snapToGrid w:val="0"/>
        <w:spacing w:line="312" w:lineRule="auto"/>
        <w:ind w:firstLine="480" w:firstLineChars="200"/>
        <w:jc w:val="left"/>
        <w:rPr>
          <w:rFonts w:ascii="黑体" w:hAnsi="黑体" w:eastAsia="黑体"/>
          <w:sz w:val="24"/>
        </w:rPr>
      </w:pPr>
      <w:r>
        <w:rPr>
          <w:rFonts w:hint="eastAsia" w:ascii="黑体" w:hAnsi="黑体" w:eastAsia="黑体"/>
          <w:sz w:val="24"/>
        </w:rPr>
        <w:t>（二十五）《销售协议书》：指本理财</w:t>
      </w:r>
      <w:r>
        <w:rPr>
          <w:rFonts w:ascii="黑体" w:hAnsi="黑体" w:eastAsia="黑体"/>
          <w:sz w:val="24"/>
        </w:rPr>
        <w:t>产品</w:t>
      </w:r>
      <w:r>
        <w:rPr>
          <w:rFonts w:hint="eastAsia" w:ascii="黑体" w:hAnsi="黑体" w:eastAsia="黑体"/>
          <w:sz w:val="24"/>
        </w:rPr>
        <w:t>由</w:t>
      </w:r>
      <w:r>
        <w:rPr>
          <w:rFonts w:ascii="黑体" w:hAnsi="黑体" w:eastAsia="黑体"/>
          <w:sz w:val="24"/>
        </w:rPr>
        <w:t>产品管理人直销情况下，</w:t>
      </w:r>
      <w:r>
        <w:rPr>
          <w:rFonts w:hint="eastAsia" w:ascii="黑体" w:hAnsi="黑体" w:eastAsia="黑体"/>
          <w:sz w:val="24"/>
        </w:rPr>
        <w:t>由</w:t>
      </w:r>
      <w:r>
        <w:rPr>
          <w:rFonts w:ascii="黑体" w:hAnsi="黑体" w:eastAsia="黑体"/>
          <w:sz w:val="24"/>
        </w:rPr>
        <w:t>投资者和产品管理人签署的</w:t>
      </w:r>
      <w:r>
        <w:rPr>
          <w:rFonts w:hint="eastAsia" w:ascii="黑体" w:hAnsi="黑体" w:eastAsia="黑体"/>
          <w:sz w:val="24"/>
        </w:rPr>
        <w:t>《宁银理财宁欣固定收益类封闭式理财1</w:t>
      </w:r>
      <w:r>
        <w:rPr>
          <w:rFonts w:hint="eastAsia" w:ascii="黑体" w:hAnsi="黑体" w:eastAsia="黑体"/>
          <w:sz w:val="24"/>
          <w:lang w:val="en-US" w:eastAsia="zh-CN"/>
        </w:rPr>
        <w:t>899</w:t>
      </w:r>
      <w:r>
        <w:rPr>
          <w:rFonts w:hint="eastAsia" w:ascii="黑体" w:hAnsi="黑体" w:eastAsia="黑体"/>
          <w:sz w:val="24"/>
        </w:rPr>
        <w:t>号产品销售协议书》，以及对该文件的有效修改或补充。</w:t>
      </w:r>
    </w:p>
    <w:p w14:paraId="38F41908">
      <w:pPr>
        <w:pStyle w:val="e8fd2d8b"/>
        <w:adjustRightInd w:val="0"/>
        <w:snapToGrid w:val="0"/>
        <w:spacing w:line="312" w:lineRule="auto"/>
        <w:ind w:firstLine="480" w:firstLineChars="200"/>
        <w:jc w:val="left"/>
        <w:rPr>
          <w:rFonts w:ascii="黑体" w:hAnsi="黑体" w:eastAsia="黑体"/>
          <w:sz w:val="24"/>
        </w:rPr>
      </w:pPr>
      <w:r>
        <w:rPr>
          <w:rFonts w:hint="eastAsia" w:ascii="黑体" w:hAnsi="黑体" w:eastAsia="黑体"/>
          <w:sz w:val="24"/>
        </w:rPr>
        <w:t>（二十六）《代理销售协议书》：指本理财</w:t>
      </w:r>
      <w:r>
        <w:rPr>
          <w:rFonts w:ascii="黑体" w:hAnsi="黑体" w:eastAsia="黑体"/>
          <w:sz w:val="24"/>
        </w:rPr>
        <w:t>产品</w:t>
      </w:r>
      <w:r>
        <w:rPr>
          <w:rFonts w:hint="eastAsia" w:ascii="黑体" w:hAnsi="黑体" w:eastAsia="黑体"/>
          <w:sz w:val="24"/>
        </w:rPr>
        <w:t>由乙方作为</w:t>
      </w:r>
      <w:r>
        <w:rPr>
          <w:rFonts w:ascii="黑体" w:hAnsi="黑体" w:eastAsia="黑体"/>
          <w:sz w:val="24"/>
        </w:rPr>
        <w:t>代理销售机构</w:t>
      </w:r>
      <w:r>
        <w:rPr>
          <w:rFonts w:hint="eastAsia" w:ascii="黑体" w:hAnsi="黑体" w:eastAsia="黑体"/>
          <w:sz w:val="24"/>
        </w:rPr>
        <w:t>代</w:t>
      </w:r>
      <w:r>
        <w:rPr>
          <w:rFonts w:ascii="黑体" w:hAnsi="黑体" w:eastAsia="黑体"/>
          <w:sz w:val="24"/>
        </w:rPr>
        <w:t>销情况下，</w:t>
      </w:r>
      <w:r>
        <w:rPr>
          <w:rFonts w:hint="eastAsia" w:ascii="黑体" w:hAnsi="黑体" w:eastAsia="黑体"/>
          <w:sz w:val="24"/>
        </w:rPr>
        <w:t>由投资者和代理销售机构签署的《宁银理财宁欣固定收益类封闭式理财1</w:t>
      </w:r>
      <w:r>
        <w:rPr>
          <w:rFonts w:hint="eastAsia" w:ascii="黑体" w:hAnsi="黑体" w:eastAsia="黑体"/>
          <w:sz w:val="24"/>
          <w:lang w:val="en-US" w:eastAsia="zh-CN"/>
        </w:rPr>
        <w:t>899</w:t>
      </w:r>
      <w:bookmarkStart w:id="2" w:name="_GoBack"/>
      <w:bookmarkEnd w:id="2"/>
      <w:r>
        <w:rPr>
          <w:rFonts w:hint="eastAsia" w:ascii="黑体" w:hAnsi="黑体" w:eastAsia="黑体"/>
          <w:sz w:val="24"/>
        </w:rPr>
        <w:t>号产品代理销售协议书》，以及对该文件的有效修改或补充。</w:t>
      </w:r>
    </w:p>
    <w:p w14:paraId="0D6E3B1D">
      <w:pPr>
        <w:pStyle w:val="e8fd2d8b"/>
        <w:adjustRightInd w:val="0"/>
        <w:snapToGrid w:val="0"/>
        <w:spacing w:line="312" w:lineRule="auto"/>
        <w:ind w:firstLine="480" w:firstLineChars="200"/>
        <w:jc w:val="left"/>
        <w:rPr>
          <w:rFonts w:ascii="黑体" w:hAnsi="黑体" w:eastAsia="黑体"/>
          <w:sz w:val="24"/>
        </w:rPr>
      </w:pPr>
      <w:r>
        <w:rPr>
          <w:rFonts w:hint="eastAsia" w:ascii="黑体" w:hAnsi="黑体" w:eastAsia="黑体"/>
          <w:sz w:val="24"/>
        </w:rPr>
        <w:t>（二十七）《投资协议书》：指《宁银理财有限责任公司产品投资协议书》，以及对该文件的有效修改或补充。</w:t>
      </w:r>
    </w:p>
    <w:p w14:paraId="35DF3DB5">
      <w:pPr>
        <w:pStyle w:val="e8fd2d8b"/>
        <w:adjustRightInd w:val="0"/>
        <w:snapToGrid w:val="0"/>
        <w:spacing w:line="312" w:lineRule="auto"/>
        <w:ind w:firstLine="480" w:firstLineChars="200"/>
        <w:jc w:val="left"/>
        <w:rPr>
          <w:rFonts w:ascii="黑体" w:hAnsi="黑体" w:eastAsia="黑体"/>
          <w:color w:val="000000"/>
          <w:sz w:val="24"/>
        </w:rPr>
      </w:pPr>
      <w:r>
        <w:rPr>
          <w:rFonts w:hint="eastAsia" w:ascii="黑体" w:hAnsi="黑体" w:eastAsia="黑体"/>
          <w:sz w:val="24"/>
        </w:rPr>
        <w:t>（二十八）《投资者权益须知》：指《宁银理财有限责任公司产品投资者权益须知》，以及对该文件的有效修改或补充。</w:t>
      </w:r>
    </w:p>
    <w:p w14:paraId="4B4C2B82">
      <w:pPr>
        <w:pStyle w:val="e8fd2d8b"/>
        <w:widowControl/>
        <w:spacing w:after="156" w:afterLines="50" w:line="312" w:lineRule="auto"/>
        <w:ind w:firstLine="420"/>
        <w:jc w:val="left"/>
        <w:rPr>
          <w:rFonts w:ascii="黑体" w:hAnsi="黑体" w:eastAsia="黑体" w:cs="宋体"/>
          <w:color w:val="666666"/>
          <w:kern w:val="0"/>
          <w:szCs w:val="21"/>
        </w:rPr>
      </w:pPr>
      <w:r>
        <w:rPr>
          <w:rFonts w:ascii="黑体" w:hAnsi="黑体" w:eastAsia="黑体"/>
          <w:b/>
          <w:bCs/>
          <w:sz w:val="24"/>
        </w:rPr>
        <w:t>第</w:t>
      </w:r>
      <w:r>
        <w:rPr>
          <w:rFonts w:hint="eastAsia" w:ascii="黑体" w:hAnsi="黑体" w:eastAsia="黑体"/>
          <w:b/>
          <w:bCs/>
          <w:sz w:val="24"/>
        </w:rPr>
        <w:t>二</w:t>
      </w:r>
      <w:r>
        <w:rPr>
          <w:rFonts w:ascii="黑体" w:hAnsi="黑体" w:eastAsia="黑体"/>
          <w:b/>
          <w:bCs/>
          <w:sz w:val="24"/>
        </w:rPr>
        <w:t>条</w:t>
      </w:r>
      <w:r>
        <w:rPr>
          <w:rFonts w:hint="eastAsia" w:ascii="黑体" w:hAnsi="黑体" w:eastAsia="黑体"/>
          <w:b/>
          <w:bCs/>
          <w:sz w:val="24"/>
        </w:rPr>
        <w:t xml:space="preserve"> </w:t>
      </w:r>
      <w:r>
        <w:rPr>
          <w:rFonts w:hint="eastAsia" w:ascii="黑体" w:hAnsi="黑体" w:eastAsia="黑体"/>
          <w:b/>
          <w:sz w:val="24"/>
        </w:rPr>
        <w:t>本理财产品非乙方所发行的理财产品，乙方仅作为本产品的代理销售机构，非本产品的发行机构与管理机构，对本产品的业绩不承担任何保证或其他经济责任，不承担本产品的投资、兑付和风险管理责任。乙方受理的代理销售理财产品业务申请，以产品管理人的最终确认结果为准。</w:t>
      </w:r>
    </w:p>
    <w:p w14:paraId="34261BD2">
      <w:pPr>
        <w:pStyle w:val="e8fd2d8b"/>
        <w:adjustRightInd w:val="0"/>
        <w:snapToGrid w:val="0"/>
        <w:spacing w:line="312" w:lineRule="auto"/>
        <w:ind w:firstLine="472" w:firstLineChars="196"/>
        <w:rPr>
          <w:rFonts w:ascii="黑体" w:hAnsi="黑体" w:eastAsia="黑体"/>
          <w:sz w:val="24"/>
        </w:rPr>
      </w:pPr>
      <w:r>
        <w:rPr>
          <w:rFonts w:ascii="黑体" w:hAnsi="黑体" w:eastAsia="黑体"/>
          <w:b/>
          <w:bCs/>
          <w:sz w:val="24"/>
        </w:rPr>
        <w:t>第</w:t>
      </w:r>
      <w:r>
        <w:rPr>
          <w:rFonts w:hint="eastAsia" w:ascii="黑体" w:hAnsi="黑体" w:eastAsia="黑体"/>
          <w:b/>
          <w:bCs/>
          <w:sz w:val="24"/>
        </w:rPr>
        <w:t>三</w:t>
      </w:r>
      <w:r>
        <w:rPr>
          <w:rFonts w:ascii="黑体" w:hAnsi="黑体" w:eastAsia="黑体"/>
          <w:b/>
          <w:bCs/>
          <w:sz w:val="24"/>
        </w:rPr>
        <w:t>条</w:t>
      </w:r>
      <w:r>
        <w:rPr>
          <w:rFonts w:hint="eastAsia" w:ascii="黑体" w:hAnsi="黑体" w:eastAsia="黑体"/>
          <w:b/>
          <w:bCs/>
          <w:sz w:val="24"/>
        </w:rPr>
        <w:t xml:space="preserve"> 本协议所称</w:t>
      </w:r>
      <w:r>
        <w:rPr>
          <w:rFonts w:hint="eastAsia" w:ascii="黑体" w:hAnsi="黑体" w:eastAsia="黑体"/>
          <w:b/>
          <w:sz w:val="24"/>
        </w:rPr>
        <w:t>理财产品是指产品管理人按照约定条件和实际投资收益情况向投资者支付收益、不保证本金支付和收益水平的非保本理财产品</w:t>
      </w:r>
      <w:r>
        <w:rPr>
          <w:rFonts w:ascii="黑体" w:hAnsi="黑体" w:eastAsia="黑体"/>
          <w:b/>
          <w:sz w:val="24"/>
        </w:rPr>
        <w:t>。</w:t>
      </w:r>
      <w:r>
        <w:rPr>
          <w:rFonts w:hint="eastAsia" w:ascii="黑体" w:hAnsi="黑体" w:eastAsia="黑体"/>
          <w:b/>
          <w:sz w:val="24"/>
        </w:rPr>
        <w:t>甲方认（申）购本理财产品，投资风险由甲方承担。投资风险包括但不限于市场风险、信用风险等，具体详见《风险揭示书》。</w:t>
      </w:r>
    </w:p>
    <w:p w14:paraId="4241F816">
      <w:pPr>
        <w:pStyle w:val="e8fd2d8b"/>
        <w:adjustRightInd w:val="0"/>
        <w:snapToGrid w:val="0"/>
        <w:spacing w:line="312" w:lineRule="auto"/>
        <w:ind w:firstLine="482" w:firstLineChars="200"/>
        <w:jc w:val="left"/>
        <w:rPr>
          <w:rFonts w:ascii="黑体" w:hAnsi="黑体" w:eastAsia="黑体"/>
          <w:b/>
          <w:sz w:val="24"/>
          <w:u w:val="single"/>
        </w:rPr>
      </w:pPr>
      <w:r>
        <w:rPr>
          <w:rFonts w:hint="eastAsia" w:ascii="黑体" w:hAnsi="黑体" w:eastAsia="黑体"/>
          <w:b/>
          <w:sz w:val="24"/>
        </w:rPr>
        <w:t xml:space="preserve">第四条 </w:t>
      </w:r>
      <w:r>
        <w:rPr>
          <w:rFonts w:hint="eastAsia" w:ascii="黑体" w:hAnsi="黑体" w:eastAsia="黑体"/>
          <w:b/>
          <w:sz w:val="24"/>
          <w:u w:val="single"/>
        </w:rPr>
        <w:t>根据理财产品投资范围、风险收益特点、流动性等不同因素，乙方代理销售的理财产品分为五个风险等级，与甲方在乙方评估的风险承受能力等级五个等级一一对应。甲方需根据风险承受能力评估结果选择风险承受能力相匹配的产品。非机构投资者在乙方销售渠道首次购买理财产品前，需进行风险承受能力评估。超过</w:t>
      </w:r>
      <w:r>
        <w:rPr>
          <w:rFonts w:ascii="黑体" w:hAnsi="黑体" w:eastAsia="黑体"/>
          <w:b/>
          <w:sz w:val="24"/>
          <w:u w:val="single"/>
        </w:rPr>
        <w:t>一年未进行风险承受能力</w:t>
      </w:r>
      <w:r>
        <w:rPr>
          <w:rFonts w:hint="eastAsia" w:ascii="黑体" w:hAnsi="黑体" w:eastAsia="黑体"/>
          <w:b/>
          <w:sz w:val="24"/>
          <w:u w:val="single"/>
        </w:rPr>
        <w:t>评估或</w:t>
      </w:r>
      <w:r>
        <w:rPr>
          <w:rFonts w:ascii="黑体" w:hAnsi="黑体" w:eastAsia="黑体"/>
          <w:b/>
          <w:sz w:val="24"/>
          <w:u w:val="single"/>
        </w:rPr>
        <w:t>发生可能影响自身风险承受能力情况的投资者，再次购买理财产品前，应当</w:t>
      </w:r>
      <w:r>
        <w:rPr>
          <w:rFonts w:hint="eastAsia" w:ascii="黑体" w:hAnsi="黑体" w:eastAsia="黑体"/>
          <w:b/>
          <w:sz w:val="24"/>
          <w:u w:val="single"/>
        </w:rPr>
        <w:t>在乙方销售渠道重新完成</w:t>
      </w:r>
      <w:r>
        <w:rPr>
          <w:rFonts w:ascii="黑体" w:hAnsi="黑体" w:eastAsia="黑体"/>
          <w:b/>
          <w:sz w:val="24"/>
          <w:u w:val="single"/>
        </w:rPr>
        <w:t>风险承受能力评估。</w:t>
      </w:r>
    </w:p>
    <w:p w14:paraId="75EFDC61">
      <w:pPr>
        <w:pStyle w:val="e8fd2d8b"/>
        <w:adjustRightInd w:val="0"/>
        <w:snapToGrid w:val="0"/>
        <w:spacing w:line="312" w:lineRule="auto"/>
        <w:ind w:firstLine="482" w:firstLineChars="200"/>
        <w:rPr>
          <w:rFonts w:ascii="黑体" w:hAnsi="黑体" w:eastAsia="黑体"/>
          <w:bCs/>
          <w:sz w:val="24"/>
        </w:rPr>
      </w:pPr>
      <w:r>
        <w:rPr>
          <w:rFonts w:hint="eastAsia" w:ascii="黑体" w:hAnsi="黑体" w:eastAsia="黑体"/>
          <w:b/>
          <w:bCs/>
          <w:sz w:val="24"/>
        </w:rPr>
        <w:t xml:space="preserve">第五条 </w:t>
      </w:r>
      <w:r>
        <w:rPr>
          <w:rFonts w:hint="eastAsia" w:ascii="黑体" w:hAnsi="黑体" w:eastAsia="黑体"/>
          <w:bCs/>
          <w:sz w:val="24"/>
        </w:rPr>
        <w:t>理财产品的认（申）购及赎回相关规则，详见《理财产品说明书》。乙方将甲方认（申）购投资本金划付至产品管理人前，对应投资本金的划付和计息方式以乙方规则为准。在产品约定的投资期内，投资本金不另计存款利息。</w:t>
      </w:r>
    </w:p>
    <w:p w14:paraId="6F0F8CDB">
      <w:pPr>
        <w:pStyle w:val="e8fd2d8b"/>
        <w:adjustRightInd w:val="0"/>
        <w:snapToGrid w:val="0"/>
        <w:spacing w:line="312" w:lineRule="auto"/>
        <w:ind w:firstLine="482" w:firstLineChars="200"/>
        <w:rPr>
          <w:rFonts w:ascii="黑体" w:hAnsi="黑体" w:eastAsia="黑体"/>
          <w:bCs/>
          <w:sz w:val="24"/>
        </w:rPr>
      </w:pPr>
      <w:r>
        <w:rPr>
          <w:rFonts w:hint="eastAsia" w:ascii="黑体" w:hAnsi="黑体" w:eastAsia="黑体"/>
          <w:b/>
          <w:bCs/>
          <w:sz w:val="24"/>
        </w:rPr>
        <w:t xml:space="preserve">第六条 </w:t>
      </w:r>
      <w:r>
        <w:rPr>
          <w:rFonts w:hint="eastAsia" w:ascii="黑体" w:hAnsi="黑体" w:eastAsia="黑体"/>
          <w:bCs/>
          <w:sz w:val="24"/>
        </w:rPr>
        <w:t>本协议项下理财产品存续期内，甲方是否可办理赎回，详见《理财产品说明书》。</w:t>
      </w:r>
    </w:p>
    <w:p w14:paraId="3F5E7BBD">
      <w:pPr>
        <w:pStyle w:val="e8fd2d8b"/>
        <w:adjustRightInd w:val="0"/>
        <w:snapToGrid w:val="0"/>
        <w:spacing w:line="312" w:lineRule="auto"/>
        <w:ind w:firstLine="482" w:firstLineChars="200"/>
        <w:rPr>
          <w:rFonts w:ascii="黑体" w:hAnsi="黑体" w:eastAsia="黑体"/>
          <w:bCs/>
          <w:sz w:val="24"/>
        </w:rPr>
      </w:pPr>
      <w:r>
        <w:rPr>
          <w:rFonts w:hint="eastAsia" w:ascii="黑体" w:hAnsi="黑体" w:eastAsia="黑体"/>
          <w:b/>
          <w:bCs/>
          <w:sz w:val="24"/>
        </w:rPr>
        <w:t>未经产品</w:t>
      </w:r>
      <w:r>
        <w:rPr>
          <w:rFonts w:ascii="黑体" w:hAnsi="黑体" w:eastAsia="黑体"/>
          <w:b/>
          <w:bCs/>
          <w:sz w:val="24"/>
        </w:rPr>
        <w:t>管理人同意，</w:t>
      </w:r>
      <w:r>
        <w:rPr>
          <w:rFonts w:hint="eastAsia" w:ascii="黑体" w:hAnsi="黑体" w:eastAsia="黑体"/>
          <w:b/>
          <w:bCs/>
          <w:sz w:val="24"/>
        </w:rPr>
        <w:t>甲方不得</w:t>
      </w:r>
      <w:r>
        <w:rPr>
          <w:rFonts w:ascii="黑体" w:hAnsi="黑体" w:eastAsia="黑体"/>
          <w:b/>
          <w:bCs/>
          <w:sz w:val="24"/>
        </w:rPr>
        <w:t>以本</w:t>
      </w:r>
      <w:r>
        <w:rPr>
          <w:rFonts w:hint="eastAsia" w:ascii="黑体" w:hAnsi="黑体" w:eastAsia="黑体"/>
          <w:b/>
          <w:bCs/>
          <w:sz w:val="24"/>
        </w:rPr>
        <w:t>协议</w:t>
      </w:r>
      <w:r>
        <w:rPr>
          <w:rFonts w:ascii="黑体" w:hAnsi="黑体" w:eastAsia="黑体"/>
          <w:b/>
          <w:bCs/>
          <w:sz w:val="24"/>
        </w:rPr>
        <w:t>项下</w:t>
      </w:r>
      <w:r>
        <w:rPr>
          <w:rFonts w:hint="eastAsia" w:ascii="黑体" w:hAnsi="黑体" w:eastAsia="黑体"/>
          <w:b/>
          <w:bCs/>
          <w:sz w:val="24"/>
        </w:rPr>
        <w:t>理财产品</w:t>
      </w:r>
      <w:r>
        <w:rPr>
          <w:rFonts w:ascii="黑体" w:hAnsi="黑体" w:eastAsia="黑体"/>
          <w:b/>
          <w:bCs/>
          <w:sz w:val="24"/>
        </w:rPr>
        <w:t>的权益（</w:t>
      </w:r>
      <w:r>
        <w:rPr>
          <w:rFonts w:hint="eastAsia" w:ascii="黑体" w:hAnsi="黑体" w:eastAsia="黑体"/>
          <w:b/>
          <w:bCs/>
          <w:sz w:val="24"/>
        </w:rPr>
        <w:t>包括</w:t>
      </w:r>
      <w:r>
        <w:rPr>
          <w:rFonts w:ascii="黑体" w:hAnsi="黑体" w:eastAsia="黑体"/>
          <w:b/>
          <w:bCs/>
          <w:sz w:val="24"/>
        </w:rPr>
        <w:t>单独和整体）</w:t>
      </w:r>
      <w:r>
        <w:rPr>
          <w:rFonts w:hint="eastAsia" w:ascii="黑体" w:hAnsi="黑体" w:eastAsia="黑体"/>
          <w:b/>
          <w:bCs/>
          <w:sz w:val="24"/>
        </w:rPr>
        <w:t>为</w:t>
      </w:r>
      <w:r>
        <w:rPr>
          <w:rFonts w:ascii="黑体" w:hAnsi="黑体" w:eastAsia="黑体"/>
          <w:b/>
          <w:bCs/>
          <w:sz w:val="24"/>
        </w:rPr>
        <w:t>甲方</w:t>
      </w:r>
      <w:r>
        <w:rPr>
          <w:rFonts w:hint="eastAsia" w:ascii="黑体" w:hAnsi="黑体" w:eastAsia="黑体"/>
          <w:b/>
          <w:bCs/>
          <w:sz w:val="24"/>
        </w:rPr>
        <w:t>或任何</w:t>
      </w:r>
      <w:r>
        <w:rPr>
          <w:rFonts w:ascii="黑体" w:hAnsi="黑体" w:eastAsia="黑体"/>
          <w:b/>
          <w:bCs/>
          <w:sz w:val="24"/>
        </w:rPr>
        <w:t>第三人的债务设定担保或其他权益</w:t>
      </w:r>
      <w:r>
        <w:rPr>
          <w:rFonts w:hint="eastAsia" w:ascii="黑体" w:hAnsi="黑体" w:eastAsia="黑体"/>
          <w:b/>
          <w:bCs/>
          <w:sz w:val="24"/>
        </w:rPr>
        <w:t>。未经产品</w:t>
      </w:r>
      <w:r>
        <w:rPr>
          <w:rFonts w:ascii="黑体" w:hAnsi="黑体" w:eastAsia="黑体"/>
          <w:b/>
          <w:bCs/>
          <w:sz w:val="24"/>
        </w:rPr>
        <w:t>管理人同意，</w:t>
      </w:r>
      <w:r>
        <w:rPr>
          <w:rFonts w:hint="eastAsia" w:ascii="黑体" w:hAnsi="黑体" w:eastAsia="黑体"/>
          <w:b/>
          <w:bCs/>
          <w:sz w:val="24"/>
        </w:rPr>
        <w:t>甲方</w:t>
      </w:r>
      <w:r>
        <w:rPr>
          <w:rFonts w:ascii="黑体" w:hAnsi="黑体" w:eastAsia="黑体"/>
          <w:b/>
          <w:bCs/>
          <w:sz w:val="24"/>
        </w:rPr>
        <w:t>不得向任何第三人转让</w:t>
      </w:r>
      <w:r>
        <w:rPr>
          <w:rFonts w:hint="eastAsia" w:ascii="黑体" w:hAnsi="黑体" w:eastAsia="黑体"/>
          <w:b/>
          <w:bCs/>
          <w:sz w:val="24"/>
        </w:rPr>
        <w:t>、</w:t>
      </w:r>
      <w:r>
        <w:rPr>
          <w:rFonts w:ascii="黑体" w:hAnsi="黑体" w:eastAsia="黑体"/>
          <w:b/>
          <w:bCs/>
          <w:sz w:val="24"/>
        </w:rPr>
        <w:t>赠与本</w:t>
      </w:r>
      <w:r>
        <w:rPr>
          <w:rFonts w:hint="eastAsia" w:ascii="黑体" w:hAnsi="黑体" w:eastAsia="黑体"/>
          <w:b/>
          <w:bCs/>
          <w:sz w:val="24"/>
        </w:rPr>
        <w:t>协议项下理财</w:t>
      </w:r>
      <w:r>
        <w:rPr>
          <w:rFonts w:ascii="黑体" w:hAnsi="黑体" w:eastAsia="黑体"/>
          <w:b/>
          <w:bCs/>
          <w:sz w:val="24"/>
        </w:rPr>
        <w:t>产品的权益（</w:t>
      </w:r>
      <w:r>
        <w:rPr>
          <w:rFonts w:hint="eastAsia" w:ascii="黑体" w:hAnsi="黑体" w:eastAsia="黑体"/>
          <w:b/>
          <w:bCs/>
          <w:sz w:val="24"/>
        </w:rPr>
        <w:t>包括</w:t>
      </w:r>
      <w:r>
        <w:rPr>
          <w:rFonts w:ascii="黑体" w:hAnsi="黑体" w:eastAsia="黑体"/>
          <w:b/>
          <w:bCs/>
          <w:sz w:val="24"/>
        </w:rPr>
        <w:t>单独和整体）</w:t>
      </w:r>
      <w:r>
        <w:rPr>
          <w:rFonts w:hint="eastAsia" w:ascii="黑体" w:hAnsi="黑体" w:eastAsia="黑体"/>
          <w:b/>
          <w:bCs/>
          <w:sz w:val="24"/>
        </w:rPr>
        <w:t>。</w:t>
      </w:r>
    </w:p>
    <w:p w14:paraId="0F5286A2">
      <w:pPr>
        <w:pStyle w:val="e8fd2d8b"/>
        <w:adjustRightInd w:val="0"/>
        <w:snapToGrid w:val="0"/>
        <w:spacing w:line="312" w:lineRule="auto"/>
        <w:ind w:firstLine="482" w:firstLineChars="200"/>
        <w:rPr>
          <w:rFonts w:ascii="黑体" w:hAnsi="黑体" w:eastAsia="黑体"/>
          <w:b/>
          <w:sz w:val="24"/>
        </w:rPr>
      </w:pPr>
      <w:r>
        <w:rPr>
          <w:rFonts w:hint="eastAsia" w:ascii="黑体" w:hAnsi="黑体" w:eastAsia="黑体"/>
          <w:b/>
          <w:color w:val="000000"/>
          <w:kern w:val="0"/>
          <w:sz w:val="24"/>
        </w:rPr>
        <w:t>第七条</w:t>
      </w:r>
      <w:r>
        <w:rPr>
          <w:rFonts w:hint="eastAsia" w:ascii="黑体" w:hAnsi="黑体" w:eastAsia="黑体"/>
          <w:color w:val="000000"/>
          <w:kern w:val="0"/>
          <w:sz w:val="24"/>
        </w:rPr>
        <w:t xml:space="preserve"> </w:t>
      </w:r>
      <w:r>
        <w:rPr>
          <w:rFonts w:hint="eastAsia" w:ascii="黑体" w:hAnsi="黑体" w:eastAsia="黑体"/>
          <w:b/>
          <w:sz w:val="24"/>
        </w:rPr>
        <w:t>本协议项下理财产品存续期内，如因有权机关采取强制措施导致甲方的理财产品份额部分或者全部被冻结、扣划或处置的，由此产生的损失均由甲方承担，</w:t>
      </w:r>
      <w:r>
        <w:rPr>
          <w:rFonts w:hint="eastAsia" w:ascii="黑体" w:hAnsi="黑体" w:eastAsia="黑体"/>
          <w:b/>
          <w:bCs/>
          <w:sz w:val="24"/>
        </w:rPr>
        <w:t>乙方和</w:t>
      </w:r>
      <w:r>
        <w:rPr>
          <w:rFonts w:ascii="黑体" w:hAnsi="黑体" w:eastAsia="黑体"/>
          <w:b/>
          <w:bCs/>
          <w:sz w:val="24"/>
        </w:rPr>
        <w:t>产品管理人</w:t>
      </w:r>
      <w:r>
        <w:rPr>
          <w:rFonts w:hint="eastAsia" w:ascii="黑体" w:hAnsi="黑体" w:eastAsia="黑体"/>
          <w:b/>
          <w:bCs/>
          <w:sz w:val="24"/>
        </w:rPr>
        <w:t>对此不承担任何责任。</w:t>
      </w:r>
    </w:p>
    <w:p w14:paraId="08E64ECD">
      <w:pPr>
        <w:pStyle w:val="e8fd2d8b"/>
        <w:adjustRightInd w:val="0"/>
        <w:snapToGrid w:val="0"/>
        <w:spacing w:line="312" w:lineRule="auto"/>
        <w:ind w:firstLine="482" w:firstLineChars="200"/>
        <w:rPr>
          <w:rFonts w:ascii="黑体" w:hAnsi="黑体" w:eastAsia="黑体"/>
          <w:sz w:val="24"/>
        </w:rPr>
      </w:pPr>
      <w:r>
        <w:rPr>
          <w:rFonts w:hint="eastAsia" w:ascii="黑体" w:hAnsi="黑体" w:eastAsia="黑体"/>
          <w:b/>
          <w:bCs/>
          <w:sz w:val="24"/>
        </w:rPr>
        <w:t xml:space="preserve">第八条 </w:t>
      </w:r>
      <w:r>
        <w:rPr>
          <w:rFonts w:hint="eastAsia" w:ascii="黑体" w:hAnsi="黑体" w:eastAsia="黑体"/>
          <w:b/>
          <w:sz w:val="24"/>
        </w:rPr>
        <w:t>乙方及</w:t>
      </w:r>
      <w:r>
        <w:rPr>
          <w:rFonts w:ascii="黑体" w:hAnsi="黑体" w:eastAsia="黑体"/>
          <w:b/>
          <w:sz w:val="24"/>
        </w:rPr>
        <w:t>产品管理人</w:t>
      </w:r>
      <w:r>
        <w:rPr>
          <w:rFonts w:hint="eastAsia" w:ascii="黑体" w:hAnsi="黑体" w:eastAsia="黑体"/>
          <w:b/>
          <w:sz w:val="24"/>
        </w:rPr>
        <w:t>有权根据国家有关法律、法规的规定，以及理财产品销售文件</w:t>
      </w:r>
      <w:r>
        <w:rPr>
          <w:rFonts w:ascii="黑体" w:hAnsi="黑体" w:eastAsia="黑体"/>
          <w:b/>
          <w:sz w:val="24"/>
        </w:rPr>
        <w:t>的约定</w:t>
      </w:r>
      <w:r>
        <w:rPr>
          <w:rFonts w:hint="eastAsia" w:ascii="黑体" w:hAnsi="黑体" w:eastAsia="黑体"/>
          <w:b/>
          <w:sz w:val="24"/>
        </w:rPr>
        <w:t>向甲方收取相应的费用，收费项目、收费条件、收费标准和收费方式在《理财产品说明书》中载明。</w:t>
      </w:r>
      <w:r>
        <w:rPr>
          <w:rFonts w:hint="eastAsia" w:ascii="黑体" w:hAnsi="黑体" w:eastAsia="黑体"/>
          <w:sz w:val="24"/>
        </w:rPr>
        <w:t>乙方及</w:t>
      </w:r>
      <w:r>
        <w:rPr>
          <w:rFonts w:ascii="黑体" w:hAnsi="黑体" w:eastAsia="黑体"/>
          <w:sz w:val="24"/>
        </w:rPr>
        <w:t>产品管理人</w:t>
      </w:r>
      <w:r>
        <w:rPr>
          <w:rFonts w:hint="eastAsia" w:ascii="黑体" w:hAnsi="黑体" w:eastAsia="黑体"/>
          <w:sz w:val="24"/>
        </w:rPr>
        <w:t>根据业务发展和投资管理情况，可以对收费标准和收费方式等</w:t>
      </w:r>
      <w:r>
        <w:rPr>
          <w:rFonts w:ascii="黑体" w:hAnsi="黑体" w:eastAsia="黑体"/>
          <w:sz w:val="24"/>
        </w:rPr>
        <w:t>产品要素</w:t>
      </w:r>
      <w:r>
        <w:rPr>
          <w:rFonts w:hint="eastAsia" w:ascii="黑体" w:hAnsi="黑体" w:eastAsia="黑体"/>
          <w:sz w:val="24"/>
        </w:rPr>
        <w:t>进行调整，但应在</w:t>
      </w:r>
      <w:r>
        <w:rPr>
          <w:rFonts w:ascii="黑体" w:hAnsi="黑体" w:eastAsia="黑体"/>
          <w:sz w:val="24"/>
        </w:rPr>
        <w:t>调整前</w:t>
      </w:r>
      <w:r>
        <w:rPr>
          <w:rFonts w:hint="eastAsia" w:ascii="黑体" w:hAnsi="黑体" w:eastAsia="黑体"/>
          <w:sz w:val="24"/>
        </w:rPr>
        <w:t>通过理财产品</w:t>
      </w:r>
      <w:r>
        <w:rPr>
          <w:rFonts w:ascii="黑体" w:hAnsi="黑体" w:eastAsia="黑体"/>
          <w:sz w:val="24"/>
        </w:rPr>
        <w:t>销售文件约定的方式</w:t>
      </w:r>
      <w:r>
        <w:rPr>
          <w:rFonts w:hint="eastAsia" w:ascii="黑体" w:hAnsi="黑体" w:eastAsia="黑体"/>
          <w:sz w:val="24"/>
        </w:rPr>
        <w:t>将有关情况及时向甲方披露。上述情况下本产品将可能开放赎回，具体以信息披露公告为准。</w:t>
      </w:r>
      <w:r>
        <w:rPr>
          <w:rFonts w:hint="eastAsia" w:ascii="黑体" w:hAnsi="黑体" w:eastAsia="黑体"/>
          <w:b/>
          <w:sz w:val="24"/>
        </w:rPr>
        <w:t>甲方不同意公告内容的，可在公告执行前按公告约定全部赎回本产品。若甲方在公告执行后继续持有本产品的，视同接受公告内容。</w:t>
      </w:r>
    </w:p>
    <w:p w14:paraId="063F1B1D">
      <w:pPr>
        <w:pStyle w:val="e8fd2d8b"/>
        <w:adjustRightInd w:val="0"/>
        <w:snapToGrid w:val="0"/>
        <w:spacing w:line="312" w:lineRule="auto"/>
        <w:ind w:firstLine="482" w:firstLineChars="200"/>
        <w:rPr>
          <w:rFonts w:ascii="黑体" w:hAnsi="黑体" w:eastAsia="黑体"/>
          <w:b/>
          <w:bCs/>
          <w:sz w:val="24"/>
        </w:rPr>
      </w:pPr>
      <w:r>
        <w:rPr>
          <w:rFonts w:hint="eastAsia" w:ascii="黑体" w:hAnsi="黑体" w:eastAsia="黑体"/>
          <w:b/>
          <w:bCs/>
          <w:sz w:val="24"/>
        </w:rPr>
        <w:t>第九条 甲方</w:t>
      </w:r>
      <w:r>
        <w:rPr>
          <w:rFonts w:ascii="黑体" w:hAnsi="黑体" w:eastAsia="黑体"/>
          <w:b/>
          <w:bCs/>
          <w:sz w:val="24"/>
        </w:rPr>
        <w:t>通过</w:t>
      </w:r>
      <w:r>
        <w:rPr>
          <w:rFonts w:hint="eastAsia" w:ascii="黑体" w:hAnsi="黑体" w:eastAsia="黑体"/>
          <w:b/>
          <w:bCs/>
          <w:sz w:val="24"/>
        </w:rPr>
        <w:t>乙方认（申）购</w:t>
      </w:r>
      <w:r>
        <w:rPr>
          <w:rFonts w:ascii="黑体" w:hAnsi="黑体" w:eastAsia="黑体"/>
          <w:b/>
          <w:bCs/>
          <w:sz w:val="24"/>
        </w:rPr>
        <w:t>理财产品</w:t>
      </w:r>
      <w:r>
        <w:rPr>
          <w:rFonts w:hint="eastAsia" w:ascii="黑体" w:hAnsi="黑体" w:eastAsia="黑体"/>
          <w:b/>
          <w:bCs/>
          <w:sz w:val="24"/>
        </w:rPr>
        <w:t>的</w:t>
      </w:r>
      <w:r>
        <w:rPr>
          <w:rFonts w:ascii="黑体" w:hAnsi="黑体" w:eastAsia="黑体"/>
          <w:b/>
          <w:bCs/>
          <w:sz w:val="24"/>
        </w:rPr>
        <w:t>，</w:t>
      </w:r>
      <w:r>
        <w:rPr>
          <w:rFonts w:hint="eastAsia" w:ascii="黑体" w:hAnsi="黑体" w:eastAsia="黑体"/>
          <w:b/>
          <w:bCs/>
          <w:sz w:val="24"/>
        </w:rPr>
        <w:t>对于</w:t>
      </w:r>
      <w:r>
        <w:rPr>
          <w:rFonts w:ascii="黑体" w:hAnsi="黑体" w:eastAsia="黑体"/>
          <w:b/>
          <w:bCs/>
          <w:sz w:val="24"/>
        </w:rPr>
        <w:t>公募理财产品，</w:t>
      </w:r>
      <w:r>
        <w:rPr>
          <w:rFonts w:hint="eastAsia" w:ascii="黑体" w:hAnsi="黑体" w:eastAsia="黑体"/>
          <w:b/>
          <w:bCs/>
          <w:sz w:val="24"/>
        </w:rPr>
        <w:t>除</w:t>
      </w:r>
      <w:r>
        <w:rPr>
          <w:rFonts w:ascii="黑体" w:hAnsi="黑体" w:eastAsia="黑体"/>
          <w:b/>
          <w:bCs/>
          <w:sz w:val="24"/>
        </w:rPr>
        <w:t>理财</w:t>
      </w:r>
      <w:r>
        <w:rPr>
          <w:rFonts w:hint="eastAsia" w:ascii="黑体" w:hAnsi="黑体" w:eastAsia="黑体"/>
          <w:b/>
          <w:bCs/>
          <w:sz w:val="24"/>
        </w:rPr>
        <w:t>产品</w:t>
      </w:r>
      <w:r>
        <w:rPr>
          <w:rFonts w:ascii="黑体" w:hAnsi="黑体" w:eastAsia="黑体"/>
          <w:b/>
          <w:bCs/>
          <w:sz w:val="24"/>
        </w:rPr>
        <w:t>账单</w:t>
      </w:r>
      <w:r>
        <w:rPr>
          <w:rFonts w:hint="eastAsia" w:ascii="黑体" w:hAnsi="黑体" w:eastAsia="黑体"/>
          <w:b/>
          <w:bCs/>
          <w:sz w:val="24"/>
        </w:rPr>
        <w:t>由乙方</w:t>
      </w:r>
      <w:r>
        <w:rPr>
          <w:rFonts w:ascii="黑体" w:hAnsi="黑体" w:eastAsia="黑体"/>
          <w:b/>
          <w:bCs/>
          <w:sz w:val="24"/>
        </w:rPr>
        <w:t>负责向</w:t>
      </w:r>
      <w:r>
        <w:rPr>
          <w:rFonts w:hint="eastAsia" w:ascii="黑体" w:hAnsi="黑体" w:eastAsia="黑体"/>
          <w:b/>
          <w:bCs/>
          <w:sz w:val="24"/>
        </w:rPr>
        <w:t>甲方提供外，</w:t>
      </w:r>
      <w:r>
        <w:rPr>
          <w:rFonts w:ascii="黑体" w:hAnsi="黑体" w:eastAsia="黑体"/>
          <w:b/>
          <w:bCs/>
          <w:sz w:val="24"/>
        </w:rPr>
        <w:t>其余信息披露</w:t>
      </w:r>
      <w:r>
        <w:rPr>
          <w:rFonts w:hint="eastAsia" w:ascii="黑体" w:hAnsi="黑体" w:eastAsia="黑体"/>
          <w:b/>
          <w:bCs/>
          <w:sz w:val="24"/>
        </w:rPr>
        <w:t>义务由</w:t>
      </w:r>
      <w:r>
        <w:rPr>
          <w:rFonts w:ascii="黑体" w:hAnsi="黑体" w:eastAsia="黑体"/>
          <w:b/>
          <w:bCs/>
          <w:sz w:val="24"/>
        </w:rPr>
        <w:t>乙方和</w:t>
      </w:r>
      <w:r>
        <w:rPr>
          <w:rFonts w:hint="eastAsia" w:ascii="黑体" w:hAnsi="黑体" w:eastAsia="黑体"/>
          <w:b/>
          <w:bCs/>
          <w:sz w:val="24"/>
        </w:rPr>
        <w:t>产品管理人</w:t>
      </w:r>
      <w:r>
        <w:rPr>
          <w:rFonts w:ascii="黑体" w:hAnsi="黑体" w:eastAsia="黑体"/>
          <w:b/>
          <w:bCs/>
          <w:sz w:val="24"/>
        </w:rPr>
        <w:t>共同承担</w:t>
      </w:r>
      <w:r>
        <w:rPr>
          <w:rFonts w:hint="eastAsia" w:ascii="黑体" w:hAnsi="黑体" w:eastAsia="黑体"/>
          <w:b/>
          <w:bCs/>
          <w:sz w:val="24"/>
        </w:rPr>
        <w:t>；</w:t>
      </w:r>
      <w:r>
        <w:rPr>
          <w:rFonts w:ascii="黑体" w:hAnsi="黑体" w:eastAsia="黑体"/>
          <w:b/>
          <w:bCs/>
          <w:sz w:val="24"/>
        </w:rPr>
        <w:t>对于私募理财产品，信息披露</w:t>
      </w:r>
      <w:r>
        <w:rPr>
          <w:rFonts w:hint="eastAsia" w:ascii="黑体" w:hAnsi="黑体" w:eastAsia="黑体"/>
          <w:b/>
          <w:bCs/>
          <w:sz w:val="24"/>
        </w:rPr>
        <w:t>义务</w:t>
      </w:r>
      <w:r>
        <w:rPr>
          <w:rFonts w:ascii="黑体" w:hAnsi="黑体" w:eastAsia="黑体"/>
          <w:b/>
          <w:bCs/>
          <w:sz w:val="24"/>
        </w:rPr>
        <w:t>由</w:t>
      </w:r>
      <w:r>
        <w:rPr>
          <w:rFonts w:hint="eastAsia" w:ascii="黑体" w:hAnsi="黑体" w:eastAsia="黑体"/>
          <w:b/>
          <w:bCs/>
          <w:sz w:val="24"/>
        </w:rPr>
        <w:t>乙方承担</w:t>
      </w:r>
      <w:r>
        <w:rPr>
          <w:rFonts w:ascii="黑体" w:hAnsi="黑体" w:eastAsia="黑体"/>
          <w:b/>
          <w:bCs/>
          <w:sz w:val="24"/>
        </w:rPr>
        <w:t>。因</w:t>
      </w:r>
      <w:r>
        <w:rPr>
          <w:rFonts w:hint="eastAsia" w:ascii="黑体" w:hAnsi="黑体" w:eastAsia="黑体"/>
          <w:b/>
          <w:bCs/>
          <w:sz w:val="24"/>
        </w:rPr>
        <w:t>乙方</w:t>
      </w:r>
      <w:r>
        <w:rPr>
          <w:rFonts w:ascii="黑体" w:hAnsi="黑体" w:eastAsia="黑体"/>
          <w:b/>
          <w:bCs/>
          <w:sz w:val="24"/>
        </w:rPr>
        <w:t>信息披露错误或不及时导致甲方损失的，由</w:t>
      </w:r>
      <w:r>
        <w:rPr>
          <w:rFonts w:hint="eastAsia" w:ascii="黑体" w:hAnsi="黑体" w:eastAsia="黑体"/>
          <w:b/>
          <w:bCs/>
          <w:sz w:val="24"/>
        </w:rPr>
        <w:t>乙方</w:t>
      </w:r>
      <w:r>
        <w:rPr>
          <w:rFonts w:ascii="黑体" w:hAnsi="黑体" w:eastAsia="黑体"/>
          <w:b/>
          <w:bCs/>
          <w:sz w:val="24"/>
        </w:rPr>
        <w:t>向甲方承担赔偿责任。</w:t>
      </w:r>
      <w:r>
        <w:rPr>
          <w:rFonts w:hint="eastAsia" w:ascii="黑体" w:hAnsi="黑体" w:eastAsia="黑体"/>
          <w:b/>
          <w:bCs/>
          <w:sz w:val="24"/>
        </w:rPr>
        <w:t>具体理财产品的信息披露方式、频率等规则见</w:t>
      </w:r>
      <w:r>
        <w:rPr>
          <w:rFonts w:hint="eastAsia" w:ascii="黑体" w:hAnsi="黑体" w:eastAsia="黑体"/>
          <w:b/>
          <w:sz w:val="24"/>
        </w:rPr>
        <w:t>《理财产品说明书》</w:t>
      </w:r>
      <w:r>
        <w:rPr>
          <w:rFonts w:hint="eastAsia" w:ascii="黑体" w:hAnsi="黑体" w:eastAsia="黑体"/>
          <w:b/>
          <w:bCs/>
          <w:sz w:val="24"/>
        </w:rPr>
        <w:t>。</w:t>
      </w:r>
    </w:p>
    <w:p w14:paraId="3A796C16">
      <w:pPr>
        <w:pStyle w:val="e8fd2d8b"/>
        <w:spacing w:line="360" w:lineRule="auto"/>
        <w:ind w:firstLine="482" w:firstLineChars="200"/>
        <w:rPr>
          <w:rFonts w:ascii="黑体" w:hAnsi="黑体" w:eastAsia="黑体"/>
          <w:sz w:val="24"/>
        </w:rPr>
      </w:pPr>
      <w:r>
        <w:rPr>
          <w:rFonts w:hint="eastAsia" w:ascii="黑体" w:hAnsi="黑体" w:eastAsia="黑体"/>
          <w:b/>
          <w:bCs/>
          <w:sz w:val="24"/>
        </w:rPr>
        <w:t>第十条 根据监管</w:t>
      </w:r>
      <w:r>
        <w:rPr>
          <w:rFonts w:ascii="黑体" w:hAnsi="黑体" w:eastAsia="黑体"/>
          <w:b/>
          <w:bCs/>
          <w:sz w:val="24"/>
        </w:rPr>
        <w:t>规定，</w:t>
      </w:r>
      <w:r>
        <w:rPr>
          <w:rFonts w:hint="eastAsia" w:ascii="黑体" w:hAnsi="黑体" w:eastAsia="黑体"/>
          <w:b/>
          <w:bCs/>
          <w:sz w:val="24"/>
        </w:rPr>
        <w:t>公募理财产品是指面向不特定社会公众公开发行的理财产品，私募理财产品是指面向合格投资者非公开发行的理财产品。</w:t>
      </w:r>
      <w:r>
        <w:rPr>
          <w:rFonts w:hint="eastAsia" w:ascii="黑体" w:hAnsi="黑体" w:eastAsia="黑体"/>
          <w:sz w:val="24"/>
        </w:rPr>
        <w:t>私募理财产品募集期最后一天为产品冷静期，冷静期具体设置规则以《理财产品说明书》为准</w:t>
      </w:r>
      <w:r>
        <w:rPr>
          <w:rFonts w:ascii="黑体" w:hAnsi="黑体" w:eastAsia="黑体"/>
          <w:sz w:val="24"/>
        </w:rPr>
        <w:t>。在冷静期内，如甲方改变投</w:t>
      </w:r>
      <w:r>
        <w:rPr>
          <w:rFonts w:hint="eastAsia" w:ascii="黑体" w:hAnsi="黑体" w:eastAsia="黑体"/>
          <w:sz w:val="24"/>
        </w:rPr>
        <w:t>资决定，应立即撤销认</w:t>
      </w:r>
      <w:r>
        <w:rPr>
          <w:rFonts w:ascii="黑体" w:hAnsi="黑体" w:eastAsia="黑体"/>
          <w:sz w:val="24"/>
        </w:rPr>
        <w:t>购的申请或</w:t>
      </w:r>
      <w:r>
        <w:rPr>
          <w:rFonts w:hint="eastAsia" w:ascii="黑体" w:hAnsi="黑体" w:eastAsia="黑体"/>
          <w:sz w:val="24"/>
        </w:rPr>
        <w:t>通过乙方向乙方和产品管理人提出解除相应理财产品销售文件，乙方和产品管理人应当遵从甲方意愿，解除已签订的理财产品销售文件，并及时退还甲方的全部投资款项。</w:t>
      </w:r>
    </w:p>
    <w:p w14:paraId="2B65D496">
      <w:pPr>
        <w:pStyle w:val="e8fd2d8b"/>
        <w:adjustRightInd w:val="0"/>
        <w:snapToGrid w:val="0"/>
        <w:spacing w:line="312" w:lineRule="auto"/>
        <w:ind w:firstLine="482" w:firstLineChars="200"/>
        <w:rPr>
          <w:rFonts w:ascii="黑体" w:hAnsi="黑体" w:eastAsia="黑体"/>
          <w:b/>
          <w:bCs/>
          <w:sz w:val="24"/>
        </w:rPr>
      </w:pPr>
      <w:r>
        <w:rPr>
          <w:rFonts w:hint="eastAsia" w:ascii="黑体" w:hAnsi="黑体" w:eastAsia="黑体"/>
          <w:b/>
          <w:bCs/>
          <w:sz w:val="24"/>
        </w:rPr>
        <w:t>第十一条 甲方</w:t>
      </w:r>
      <w:r>
        <w:rPr>
          <w:rFonts w:ascii="黑体" w:hAnsi="黑体" w:eastAsia="黑体"/>
          <w:b/>
          <w:bCs/>
          <w:sz w:val="24"/>
        </w:rPr>
        <w:t>通过</w:t>
      </w:r>
      <w:r>
        <w:rPr>
          <w:rFonts w:hint="eastAsia" w:ascii="黑体" w:hAnsi="黑体" w:eastAsia="黑体"/>
          <w:b/>
          <w:bCs/>
          <w:sz w:val="24"/>
        </w:rPr>
        <w:t>乙方认（申）购</w:t>
      </w:r>
      <w:r>
        <w:rPr>
          <w:rFonts w:ascii="黑体" w:hAnsi="黑体" w:eastAsia="黑体"/>
          <w:b/>
          <w:bCs/>
          <w:sz w:val="24"/>
        </w:rPr>
        <w:t>理财产品</w:t>
      </w:r>
      <w:r>
        <w:rPr>
          <w:rFonts w:hint="eastAsia" w:ascii="黑体" w:hAnsi="黑体" w:eastAsia="黑体"/>
          <w:b/>
          <w:bCs/>
          <w:sz w:val="24"/>
        </w:rPr>
        <w:t>的</w:t>
      </w:r>
      <w:r>
        <w:rPr>
          <w:rFonts w:ascii="黑体" w:hAnsi="黑体" w:eastAsia="黑体"/>
          <w:b/>
          <w:bCs/>
          <w:sz w:val="24"/>
        </w:rPr>
        <w:t>，如因</w:t>
      </w:r>
      <w:r>
        <w:rPr>
          <w:rFonts w:hint="eastAsia" w:ascii="黑体" w:hAnsi="黑体" w:eastAsia="黑体"/>
          <w:b/>
          <w:bCs/>
          <w:sz w:val="24"/>
        </w:rPr>
        <w:t>乙方</w:t>
      </w:r>
      <w:r>
        <w:rPr>
          <w:rFonts w:ascii="黑体" w:hAnsi="黑体" w:eastAsia="黑体"/>
          <w:b/>
          <w:bCs/>
          <w:sz w:val="24"/>
        </w:rPr>
        <w:t>交易系统故障、</w:t>
      </w:r>
      <w:r>
        <w:rPr>
          <w:rFonts w:hint="eastAsia" w:ascii="黑体" w:hAnsi="黑体" w:eastAsia="黑体"/>
          <w:b/>
          <w:bCs/>
          <w:sz w:val="24"/>
        </w:rPr>
        <w:t>销售误导、</w:t>
      </w:r>
      <w:r>
        <w:rPr>
          <w:rFonts w:ascii="黑体" w:hAnsi="黑体" w:eastAsia="黑体"/>
          <w:b/>
          <w:bCs/>
          <w:sz w:val="24"/>
        </w:rPr>
        <w:t>未尽销售适当性匹配义务</w:t>
      </w:r>
      <w:r>
        <w:rPr>
          <w:rFonts w:hint="eastAsia" w:ascii="黑体" w:hAnsi="黑体" w:eastAsia="黑体"/>
          <w:b/>
          <w:bCs/>
          <w:sz w:val="24"/>
        </w:rPr>
        <w:t>等错误或过失，</w:t>
      </w:r>
      <w:r>
        <w:rPr>
          <w:rFonts w:ascii="黑体" w:hAnsi="黑体" w:eastAsia="黑体"/>
          <w:b/>
          <w:bCs/>
          <w:sz w:val="24"/>
        </w:rPr>
        <w:t>导致甲方损失的，由</w:t>
      </w:r>
      <w:r>
        <w:rPr>
          <w:rFonts w:hint="eastAsia" w:ascii="黑体" w:hAnsi="黑体" w:eastAsia="黑体"/>
          <w:b/>
          <w:bCs/>
          <w:sz w:val="24"/>
        </w:rPr>
        <w:t>乙方</w:t>
      </w:r>
      <w:r>
        <w:rPr>
          <w:rFonts w:ascii="黑体" w:hAnsi="黑体" w:eastAsia="黑体"/>
          <w:b/>
          <w:bCs/>
          <w:sz w:val="24"/>
        </w:rPr>
        <w:t>向甲方承担赔偿责任。</w:t>
      </w:r>
    </w:p>
    <w:p w14:paraId="4C2F5668">
      <w:pPr>
        <w:pStyle w:val="e8fd2d8b"/>
        <w:adjustRightInd w:val="0"/>
        <w:snapToGrid w:val="0"/>
        <w:spacing w:line="312" w:lineRule="auto"/>
        <w:ind w:firstLine="482" w:firstLineChars="200"/>
        <w:rPr>
          <w:rFonts w:ascii="黑体" w:hAnsi="黑体" w:eastAsia="黑体"/>
          <w:sz w:val="24"/>
        </w:rPr>
      </w:pPr>
      <w:r>
        <w:rPr>
          <w:rFonts w:hint="eastAsia" w:ascii="黑体" w:hAnsi="黑体" w:eastAsia="黑体"/>
          <w:b/>
          <w:bCs/>
          <w:sz w:val="24"/>
        </w:rPr>
        <w:t xml:space="preserve">第十二条 </w:t>
      </w:r>
      <w:r>
        <w:rPr>
          <w:rFonts w:hint="eastAsia" w:ascii="黑体" w:hAnsi="黑体" w:eastAsia="黑体"/>
          <w:sz w:val="24"/>
        </w:rPr>
        <w:t>本协议项下理财产品募集期结束，理财产品未被足额认购的，</w:t>
      </w:r>
      <w:r>
        <w:rPr>
          <w:rFonts w:hint="eastAsia" w:ascii="黑体" w:hAnsi="黑体" w:eastAsia="黑体"/>
          <w:bCs/>
          <w:color w:val="000000"/>
          <w:sz w:val="24"/>
        </w:rPr>
        <w:t>按照《理财产品说明书》约定执行</w:t>
      </w:r>
      <w:r>
        <w:rPr>
          <w:rFonts w:hint="eastAsia" w:ascii="黑体" w:hAnsi="黑体" w:eastAsia="黑体"/>
          <w:sz w:val="24"/>
        </w:rPr>
        <w:t>。</w:t>
      </w:r>
    </w:p>
    <w:p w14:paraId="55515554">
      <w:pPr>
        <w:pStyle w:val="e8fd2d8b"/>
        <w:adjustRightInd w:val="0"/>
        <w:snapToGrid w:val="0"/>
        <w:spacing w:line="312" w:lineRule="auto"/>
        <w:ind w:firstLine="482" w:firstLineChars="200"/>
        <w:rPr>
          <w:rFonts w:ascii="黑体" w:hAnsi="黑体" w:eastAsia="黑体"/>
          <w:sz w:val="24"/>
        </w:rPr>
      </w:pPr>
      <w:r>
        <w:rPr>
          <w:rFonts w:hint="eastAsia" w:ascii="黑体" w:hAnsi="黑体" w:eastAsia="黑体"/>
          <w:b/>
          <w:bCs/>
          <w:sz w:val="24"/>
        </w:rPr>
        <w:t xml:space="preserve">第十三条 </w:t>
      </w:r>
      <w:r>
        <w:rPr>
          <w:rFonts w:ascii="黑体" w:hAnsi="黑体" w:eastAsia="黑体"/>
          <w:b/>
          <w:bCs/>
          <w:sz w:val="24"/>
        </w:rPr>
        <w:t xml:space="preserve"> </w:t>
      </w:r>
      <w:r>
        <w:rPr>
          <w:rFonts w:ascii="黑体" w:hAnsi="黑体" w:eastAsia="黑体"/>
          <w:sz w:val="24"/>
        </w:rPr>
        <w:t>在本协议项下理财产品资金清算日，</w:t>
      </w:r>
      <w:r>
        <w:rPr>
          <w:rFonts w:hint="eastAsia" w:ascii="黑体" w:hAnsi="黑体" w:eastAsia="黑体"/>
          <w:bCs/>
          <w:sz w:val="24"/>
        </w:rPr>
        <w:t>通过乙方认（</w:t>
      </w:r>
      <w:r>
        <w:rPr>
          <w:rFonts w:ascii="黑体" w:hAnsi="黑体" w:eastAsia="黑体"/>
          <w:bCs/>
          <w:sz w:val="24"/>
        </w:rPr>
        <w:t>申</w:t>
      </w:r>
      <w:r>
        <w:rPr>
          <w:rFonts w:hint="eastAsia" w:ascii="黑体" w:hAnsi="黑体" w:eastAsia="黑体"/>
          <w:bCs/>
          <w:sz w:val="24"/>
        </w:rPr>
        <w:t>）</w:t>
      </w:r>
      <w:r>
        <w:rPr>
          <w:rFonts w:ascii="黑体" w:hAnsi="黑体" w:eastAsia="黑体"/>
          <w:bCs/>
          <w:sz w:val="24"/>
        </w:rPr>
        <w:t>购理财</w:t>
      </w:r>
      <w:r>
        <w:rPr>
          <w:rFonts w:hint="eastAsia" w:ascii="黑体" w:hAnsi="黑体" w:eastAsia="黑体"/>
          <w:bCs/>
          <w:sz w:val="24"/>
        </w:rPr>
        <w:t>产品</w:t>
      </w:r>
      <w:r>
        <w:rPr>
          <w:rFonts w:ascii="黑体" w:hAnsi="黑体" w:eastAsia="黑体"/>
          <w:bCs/>
          <w:sz w:val="24"/>
        </w:rPr>
        <w:t>的，</w:t>
      </w:r>
      <w:r>
        <w:rPr>
          <w:rFonts w:hint="eastAsia" w:ascii="黑体" w:hAnsi="黑体" w:eastAsia="黑体"/>
          <w:bCs/>
          <w:sz w:val="24"/>
        </w:rPr>
        <w:t>产品管理人仅负责</w:t>
      </w:r>
      <w:r>
        <w:rPr>
          <w:rFonts w:ascii="黑体" w:hAnsi="黑体" w:eastAsia="黑体"/>
          <w:bCs/>
          <w:sz w:val="24"/>
        </w:rPr>
        <w:t>将清算金额</w:t>
      </w:r>
      <w:r>
        <w:rPr>
          <w:rFonts w:hint="eastAsia" w:ascii="黑体" w:hAnsi="黑体" w:eastAsia="黑体"/>
          <w:bCs/>
          <w:sz w:val="24"/>
        </w:rPr>
        <w:t>统一</w:t>
      </w:r>
      <w:r>
        <w:rPr>
          <w:rFonts w:ascii="黑体" w:hAnsi="黑体" w:eastAsia="黑体"/>
          <w:bCs/>
          <w:sz w:val="24"/>
        </w:rPr>
        <w:t>划付至</w:t>
      </w:r>
      <w:r>
        <w:rPr>
          <w:rFonts w:hint="eastAsia" w:ascii="黑体" w:hAnsi="黑体" w:eastAsia="黑体"/>
          <w:bCs/>
          <w:sz w:val="24"/>
        </w:rPr>
        <w:t>乙方，由乙方</w:t>
      </w:r>
      <w:r>
        <w:rPr>
          <w:rFonts w:ascii="黑体" w:hAnsi="黑体" w:eastAsia="黑体"/>
          <w:bCs/>
          <w:sz w:val="24"/>
        </w:rPr>
        <w:t>负责</w:t>
      </w:r>
      <w:r>
        <w:rPr>
          <w:rFonts w:hint="eastAsia" w:ascii="黑体" w:hAnsi="黑体" w:eastAsia="黑体"/>
          <w:bCs/>
          <w:sz w:val="24"/>
        </w:rPr>
        <w:t>划入</w:t>
      </w:r>
      <w:r>
        <w:rPr>
          <w:rFonts w:ascii="黑体" w:hAnsi="黑体" w:eastAsia="黑体"/>
          <w:bCs/>
          <w:sz w:val="24"/>
        </w:rPr>
        <w:t>甲方</w:t>
      </w:r>
      <w:r>
        <w:rPr>
          <w:rFonts w:hint="eastAsia" w:ascii="黑体" w:hAnsi="黑体" w:eastAsia="黑体"/>
          <w:bCs/>
          <w:sz w:val="24"/>
        </w:rPr>
        <w:t>指定</w:t>
      </w:r>
      <w:r>
        <w:rPr>
          <w:rFonts w:ascii="黑体" w:hAnsi="黑体" w:eastAsia="黑体"/>
          <w:bCs/>
          <w:sz w:val="24"/>
        </w:rPr>
        <w:t>账户</w:t>
      </w:r>
      <w:r>
        <w:rPr>
          <w:rFonts w:hint="eastAsia" w:ascii="黑体" w:hAnsi="黑体" w:eastAsia="黑体"/>
          <w:sz w:val="24"/>
        </w:rPr>
        <w:t>。从到期日到</w:t>
      </w:r>
      <w:bookmarkStart w:id="0" w:name="OLE_LINK4"/>
      <w:bookmarkStart w:id="1" w:name="OLE_LINK3"/>
      <w:r>
        <w:rPr>
          <w:rFonts w:hint="eastAsia" w:ascii="黑体" w:hAnsi="黑体" w:eastAsia="黑体"/>
          <w:sz w:val="24"/>
        </w:rPr>
        <w:t>资金清算日</w:t>
      </w:r>
      <w:bookmarkEnd w:id="0"/>
      <w:bookmarkEnd w:id="1"/>
      <w:r>
        <w:rPr>
          <w:rFonts w:hint="eastAsia" w:ascii="黑体" w:hAnsi="黑体" w:eastAsia="黑体"/>
          <w:sz w:val="24"/>
        </w:rPr>
        <w:t>的期间不计付利息。</w:t>
      </w:r>
    </w:p>
    <w:p w14:paraId="2101290C">
      <w:pPr>
        <w:pStyle w:val="e8fd2d8b"/>
        <w:adjustRightInd w:val="0"/>
        <w:snapToGrid w:val="0"/>
        <w:spacing w:line="312" w:lineRule="auto"/>
        <w:ind w:firstLine="482" w:firstLineChars="200"/>
        <w:rPr>
          <w:rFonts w:ascii="黑体" w:hAnsi="黑体" w:eastAsia="黑体"/>
          <w:sz w:val="24"/>
        </w:rPr>
      </w:pPr>
      <w:r>
        <w:rPr>
          <w:rFonts w:hint="eastAsia" w:ascii="黑体" w:hAnsi="黑体" w:eastAsia="黑体"/>
          <w:b/>
          <w:bCs/>
          <w:sz w:val="24"/>
        </w:rPr>
        <w:t xml:space="preserve">第十四条 </w:t>
      </w:r>
      <w:r>
        <w:rPr>
          <w:rFonts w:hint="eastAsia" w:ascii="黑体" w:hAnsi="黑体" w:eastAsia="黑体"/>
          <w:sz w:val="24"/>
        </w:rPr>
        <w:t>本协议终止前，甲方不得将</w:t>
      </w:r>
      <w:r>
        <w:rPr>
          <w:rFonts w:hint="eastAsia" w:ascii="黑体" w:hAnsi="黑体" w:eastAsia="黑体"/>
          <w:bCs/>
          <w:sz w:val="24"/>
        </w:rPr>
        <w:t>指定账户</w:t>
      </w:r>
      <w:r>
        <w:rPr>
          <w:rFonts w:hint="eastAsia" w:ascii="黑体" w:hAnsi="黑体" w:eastAsia="黑体"/>
          <w:sz w:val="24"/>
        </w:rPr>
        <w:t>销户。若发生因甲方注销</w:t>
      </w:r>
      <w:r>
        <w:rPr>
          <w:rFonts w:hint="eastAsia" w:ascii="黑体" w:hAnsi="黑体" w:eastAsia="黑体"/>
          <w:bCs/>
          <w:sz w:val="24"/>
        </w:rPr>
        <w:t>账户</w:t>
      </w:r>
      <w:r>
        <w:rPr>
          <w:rFonts w:hint="eastAsia" w:ascii="黑体" w:hAnsi="黑体" w:eastAsia="黑体"/>
          <w:sz w:val="24"/>
        </w:rPr>
        <w:t>造成资金无法入账，乙方和</w:t>
      </w:r>
      <w:r>
        <w:rPr>
          <w:rFonts w:ascii="黑体" w:hAnsi="黑体" w:eastAsia="黑体"/>
          <w:sz w:val="24"/>
        </w:rPr>
        <w:t>产品管理人</w:t>
      </w:r>
      <w:r>
        <w:rPr>
          <w:rFonts w:hint="eastAsia" w:ascii="黑体" w:hAnsi="黑体" w:eastAsia="黑体"/>
          <w:sz w:val="24"/>
        </w:rPr>
        <w:t>不承担任何责任。</w:t>
      </w:r>
    </w:p>
    <w:p w14:paraId="7F1A07CE">
      <w:pPr>
        <w:pStyle w:val="e8fd2d8b"/>
        <w:adjustRightInd w:val="0"/>
        <w:snapToGrid w:val="0"/>
        <w:spacing w:line="312" w:lineRule="auto"/>
        <w:ind w:firstLine="482" w:firstLineChars="200"/>
        <w:rPr>
          <w:rFonts w:ascii="黑体" w:hAnsi="黑体" w:eastAsia="黑体"/>
          <w:b/>
          <w:sz w:val="24"/>
        </w:rPr>
      </w:pPr>
      <w:r>
        <w:rPr>
          <w:rFonts w:hint="eastAsia" w:ascii="黑体" w:hAnsi="黑体" w:eastAsia="黑体"/>
          <w:b/>
          <w:bCs/>
          <w:sz w:val="24"/>
        </w:rPr>
        <w:t>第十五条</w:t>
      </w:r>
      <w:r>
        <w:rPr>
          <w:rFonts w:hint="eastAsia" w:ascii="黑体" w:hAnsi="黑体" w:eastAsia="黑体"/>
          <w:b/>
          <w:sz w:val="24"/>
        </w:rPr>
        <w:t xml:space="preserve"> 免责条款</w:t>
      </w:r>
    </w:p>
    <w:p w14:paraId="6FC85944">
      <w:pPr>
        <w:pStyle w:val="e8fd2d8b"/>
        <w:adjustRightInd w:val="0"/>
        <w:snapToGrid w:val="0"/>
        <w:spacing w:line="312" w:lineRule="auto"/>
        <w:ind w:firstLine="424" w:firstLineChars="176"/>
        <w:rPr>
          <w:rFonts w:ascii="黑体" w:hAnsi="黑体" w:eastAsia="黑体"/>
          <w:b/>
          <w:sz w:val="24"/>
        </w:rPr>
      </w:pPr>
      <w:r>
        <w:rPr>
          <w:rFonts w:hint="eastAsia" w:ascii="黑体" w:hAnsi="黑体" w:eastAsia="黑体"/>
          <w:b/>
          <w:sz w:val="24"/>
        </w:rPr>
        <w:t>（一</w:t>
      </w:r>
      <w:r>
        <w:rPr>
          <w:rFonts w:ascii="黑体" w:hAnsi="黑体" w:eastAsia="黑体"/>
          <w:b/>
          <w:sz w:val="24"/>
        </w:rPr>
        <w:t>）</w:t>
      </w:r>
      <w:r>
        <w:rPr>
          <w:rFonts w:hint="eastAsia" w:ascii="黑体" w:hAnsi="黑体" w:eastAsia="黑体"/>
          <w:b/>
          <w:sz w:val="24"/>
        </w:rPr>
        <w:t>由于地震、火灾、战争、罢工或者国家有关法律、法规、规章、政策的改变、紧急措施的出台等不可抗力因素导致的交易中断、延误、禁止等任何风险及损失，乙方和</w:t>
      </w:r>
      <w:r>
        <w:rPr>
          <w:rFonts w:ascii="黑体" w:hAnsi="黑体" w:eastAsia="黑体"/>
          <w:b/>
          <w:sz w:val="24"/>
        </w:rPr>
        <w:t>产品管理人</w:t>
      </w:r>
      <w:r>
        <w:rPr>
          <w:rFonts w:hint="eastAsia" w:ascii="黑体" w:hAnsi="黑体" w:eastAsia="黑体"/>
          <w:b/>
          <w:sz w:val="24"/>
        </w:rPr>
        <w:t>不承担责任，但乙方应在条件允许的情况下通知甲方，并采取一切必要的补救措施以减小不可抗力因素造成的损失。</w:t>
      </w:r>
    </w:p>
    <w:p w14:paraId="616D6C1B">
      <w:pPr>
        <w:pStyle w:val="e8fd2d8b"/>
        <w:adjustRightInd w:val="0"/>
        <w:snapToGrid w:val="0"/>
        <w:spacing w:line="312" w:lineRule="auto"/>
        <w:ind w:firstLine="424" w:firstLineChars="176"/>
        <w:rPr>
          <w:rFonts w:ascii="黑体" w:hAnsi="黑体" w:eastAsia="黑体"/>
          <w:b/>
          <w:sz w:val="24"/>
        </w:rPr>
      </w:pPr>
      <w:r>
        <w:rPr>
          <w:rFonts w:hint="eastAsia" w:ascii="黑体" w:hAnsi="黑体" w:eastAsia="黑体"/>
          <w:b/>
          <w:sz w:val="24"/>
        </w:rPr>
        <w:t>（二</w:t>
      </w:r>
      <w:r>
        <w:rPr>
          <w:rFonts w:ascii="黑体" w:hAnsi="黑体" w:eastAsia="黑体"/>
          <w:b/>
          <w:sz w:val="24"/>
        </w:rPr>
        <w:t>）</w:t>
      </w:r>
      <w:r>
        <w:rPr>
          <w:rFonts w:hint="eastAsia" w:ascii="黑体" w:hAnsi="黑体" w:eastAsia="黑体"/>
          <w:b/>
          <w:sz w:val="24"/>
        </w:rPr>
        <w:t>由于国家法律、法规及政策的变更或</w:t>
      </w:r>
      <w:r>
        <w:rPr>
          <w:rFonts w:ascii="黑体" w:hAnsi="黑体" w:eastAsia="黑体"/>
          <w:b/>
          <w:sz w:val="24"/>
        </w:rPr>
        <w:t>因国家</w:t>
      </w:r>
      <w:r>
        <w:rPr>
          <w:rFonts w:hint="eastAsia" w:ascii="黑体" w:hAnsi="黑体" w:eastAsia="黑体"/>
          <w:b/>
          <w:sz w:val="24"/>
        </w:rPr>
        <w:t>行政机关</w:t>
      </w:r>
      <w:r>
        <w:rPr>
          <w:rFonts w:ascii="黑体" w:hAnsi="黑体" w:eastAsia="黑体"/>
          <w:b/>
          <w:sz w:val="24"/>
        </w:rPr>
        <w:t>行使</w:t>
      </w:r>
      <w:r>
        <w:rPr>
          <w:rFonts w:hint="eastAsia" w:ascii="黑体" w:hAnsi="黑体" w:eastAsia="黑体"/>
          <w:b/>
          <w:sz w:val="24"/>
        </w:rPr>
        <w:t>权力而导致的相关风险及损失，乙方和</w:t>
      </w:r>
      <w:r>
        <w:rPr>
          <w:rFonts w:ascii="黑体" w:hAnsi="黑体" w:eastAsia="黑体"/>
          <w:b/>
          <w:sz w:val="24"/>
        </w:rPr>
        <w:t>产品管理人</w:t>
      </w:r>
      <w:r>
        <w:rPr>
          <w:rFonts w:hint="eastAsia" w:ascii="黑体" w:hAnsi="黑体" w:eastAsia="黑体"/>
          <w:b/>
          <w:sz w:val="24"/>
        </w:rPr>
        <w:t>不承担责任。</w:t>
      </w:r>
    </w:p>
    <w:p w14:paraId="4202A2F6">
      <w:pPr>
        <w:pStyle w:val="e8fd2d8b"/>
        <w:adjustRightInd w:val="0"/>
        <w:snapToGrid w:val="0"/>
        <w:spacing w:line="312" w:lineRule="auto"/>
        <w:ind w:firstLine="424" w:firstLineChars="176"/>
        <w:rPr>
          <w:rFonts w:ascii="黑体" w:hAnsi="黑体" w:eastAsia="黑体"/>
          <w:b/>
          <w:sz w:val="24"/>
        </w:rPr>
      </w:pPr>
      <w:r>
        <w:rPr>
          <w:rFonts w:hint="eastAsia" w:ascii="黑体" w:hAnsi="黑体" w:eastAsia="黑体"/>
          <w:b/>
          <w:sz w:val="24"/>
        </w:rPr>
        <w:t>（三）如无</w:t>
      </w:r>
      <w:r>
        <w:rPr>
          <w:rFonts w:ascii="黑体" w:hAnsi="黑体" w:eastAsia="黑体"/>
          <w:b/>
          <w:sz w:val="24"/>
        </w:rPr>
        <w:t>特别约定，</w:t>
      </w:r>
      <w:r>
        <w:rPr>
          <w:rFonts w:hint="eastAsia" w:ascii="黑体" w:hAnsi="黑体" w:eastAsia="黑体"/>
          <w:b/>
          <w:sz w:val="24"/>
        </w:rPr>
        <w:t>本协议中涉及的所有日期如遇非工作日，则延至下一个工作日，由此导致的风险，乙方和</w:t>
      </w:r>
      <w:r>
        <w:rPr>
          <w:rFonts w:ascii="黑体" w:hAnsi="黑体" w:eastAsia="黑体"/>
          <w:b/>
          <w:sz w:val="24"/>
        </w:rPr>
        <w:t>产品管理人</w:t>
      </w:r>
      <w:r>
        <w:rPr>
          <w:rFonts w:hint="eastAsia" w:ascii="黑体" w:hAnsi="黑体" w:eastAsia="黑体"/>
          <w:b/>
          <w:sz w:val="24"/>
        </w:rPr>
        <w:t>不承担责任。</w:t>
      </w:r>
    </w:p>
    <w:p w14:paraId="77369804">
      <w:pPr>
        <w:pStyle w:val="e8fd2d8b"/>
        <w:adjustRightInd w:val="0"/>
        <w:snapToGrid w:val="0"/>
        <w:spacing w:line="312" w:lineRule="auto"/>
        <w:ind w:firstLine="482" w:firstLineChars="200"/>
        <w:rPr>
          <w:rFonts w:ascii="黑体" w:hAnsi="黑体" w:eastAsia="黑体"/>
          <w:b/>
          <w:sz w:val="24"/>
        </w:rPr>
      </w:pPr>
      <w:r>
        <w:rPr>
          <w:rFonts w:hint="eastAsia" w:ascii="黑体" w:hAnsi="黑体" w:eastAsia="黑体"/>
          <w:b/>
          <w:sz w:val="24"/>
        </w:rPr>
        <w:t>第十六条 甲方承诺</w:t>
      </w:r>
    </w:p>
    <w:p w14:paraId="6D757D71">
      <w:pPr>
        <w:pStyle w:val="e8fd2d8b"/>
        <w:adjustRightInd w:val="0"/>
        <w:snapToGrid w:val="0"/>
        <w:spacing w:line="312" w:lineRule="auto"/>
        <w:ind w:firstLine="424" w:firstLineChars="176"/>
        <w:rPr>
          <w:rFonts w:ascii="黑体" w:hAnsi="黑体" w:eastAsia="黑体"/>
          <w:b/>
          <w:sz w:val="24"/>
        </w:rPr>
      </w:pPr>
      <w:r>
        <w:rPr>
          <w:rFonts w:hint="eastAsia" w:ascii="黑体" w:hAnsi="黑体" w:eastAsia="黑体"/>
          <w:b/>
          <w:sz w:val="24"/>
        </w:rPr>
        <w:t>（一）甲方承诺，购买本理财产品的资金为其合法所有，</w:t>
      </w:r>
      <w:r>
        <w:rPr>
          <w:rFonts w:ascii="黑体" w:hAnsi="黑体" w:eastAsia="黑体"/>
          <w:b/>
          <w:sz w:val="24"/>
        </w:rPr>
        <w:t>投资行为符合法律、法规及相关监管部门的规定</w:t>
      </w:r>
      <w:r>
        <w:rPr>
          <w:rFonts w:hint="eastAsia" w:ascii="黑体" w:hAnsi="黑体" w:eastAsia="黑体"/>
          <w:b/>
          <w:sz w:val="24"/>
        </w:rPr>
        <w:t>。</w:t>
      </w:r>
    </w:p>
    <w:p w14:paraId="7598DABB">
      <w:pPr>
        <w:pStyle w:val="e8fd2d8b"/>
        <w:adjustRightInd w:val="0"/>
        <w:snapToGrid w:val="0"/>
        <w:spacing w:line="312" w:lineRule="auto"/>
        <w:ind w:firstLine="410" w:firstLineChars="170"/>
        <w:jc w:val="left"/>
        <w:rPr>
          <w:rFonts w:ascii="黑体" w:hAnsi="黑体" w:eastAsia="黑体"/>
          <w:b/>
          <w:sz w:val="24"/>
        </w:rPr>
      </w:pPr>
      <w:r>
        <w:rPr>
          <w:rFonts w:hint="eastAsia" w:ascii="黑体" w:hAnsi="黑体" w:eastAsia="黑体"/>
          <w:b/>
          <w:sz w:val="24"/>
        </w:rPr>
        <w:t>（二）</w:t>
      </w:r>
      <w:r>
        <w:rPr>
          <w:rFonts w:hint="eastAsia" w:ascii="黑体" w:hAnsi="黑体" w:eastAsia="黑体"/>
          <w:b/>
          <w:bCs/>
          <w:color w:val="000000"/>
          <w:sz w:val="24"/>
        </w:rPr>
        <w:t>甲方承诺，购买本理财产品的资金为合法自有资金或合法募集资金，不存在使用贷款、发行债券等筹集的非自有资金投资资产管理产品的情形。</w:t>
      </w:r>
    </w:p>
    <w:p w14:paraId="3EF33FF0">
      <w:pPr>
        <w:pStyle w:val="e8fd2d8b"/>
        <w:adjustRightInd w:val="0"/>
        <w:snapToGrid w:val="0"/>
        <w:spacing w:line="312" w:lineRule="auto"/>
        <w:ind w:firstLine="412" w:firstLineChars="171"/>
        <w:jc w:val="left"/>
        <w:rPr>
          <w:rFonts w:ascii="黑体" w:hAnsi="黑体" w:eastAsia="黑体"/>
          <w:b/>
          <w:sz w:val="24"/>
        </w:rPr>
      </w:pPr>
      <w:r>
        <w:rPr>
          <w:rFonts w:hint="eastAsia" w:ascii="黑体" w:hAnsi="黑体" w:eastAsia="黑体"/>
          <w:b/>
          <w:sz w:val="24"/>
        </w:rPr>
        <w:t>（三）甲方承诺，</w:t>
      </w:r>
      <w:r>
        <w:rPr>
          <w:rFonts w:ascii="黑体" w:hAnsi="黑体" w:eastAsia="黑体"/>
          <w:b/>
          <w:sz w:val="24"/>
        </w:rPr>
        <w:t>甲方</w:t>
      </w:r>
      <w:r>
        <w:rPr>
          <w:rFonts w:hint="eastAsia" w:ascii="黑体" w:hAnsi="黑体" w:eastAsia="黑体"/>
          <w:b/>
          <w:sz w:val="24"/>
        </w:rPr>
        <w:t>所提供的信息和资料真实有效，</w:t>
      </w:r>
      <w:r>
        <w:rPr>
          <w:rFonts w:ascii="黑体" w:hAnsi="黑体" w:eastAsia="黑体"/>
          <w:b/>
          <w:sz w:val="24"/>
        </w:rPr>
        <w:t>且同意配合乙方</w:t>
      </w:r>
      <w:r>
        <w:rPr>
          <w:rFonts w:hint="eastAsia" w:ascii="黑体" w:hAnsi="黑体" w:eastAsia="黑体"/>
          <w:b/>
          <w:sz w:val="24"/>
        </w:rPr>
        <w:t>及产品管理人根据法律法规</w:t>
      </w:r>
      <w:r>
        <w:rPr>
          <w:rFonts w:ascii="黑体" w:hAnsi="黑体" w:eastAsia="黑体"/>
          <w:b/>
          <w:sz w:val="24"/>
        </w:rPr>
        <w:t>、监管</w:t>
      </w:r>
      <w:r>
        <w:rPr>
          <w:rFonts w:hint="eastAsia" w:ascii="黑体" w:hAnsi="黑体" w:eastAsia="黑体"/>
          <w:b/>
          <w:sz w:val="24"/>
        </w:rPr>
        <w:t>政策的</w:t>
      </w:r>
      <w:r>
        <w:rPr>
          <w:rFonts w:ascii="黑体" w:hAnsi="黑体" w:eastAsia="黑体"/>
          <w:b/>
          <w:sz w:val="24"/>
        </w:rPr>
        <w:t>规定</w:t>
      </w:r>
      <w:r>
        <w:rPr>
          <w:rFonts w:hint="eastAsia" w:ascii="黑体" w:hAnsi="黑体" w:eastAsia="黑体"/>
          <w:b/>
          <w:sz w:val="24"/>
        </w:rPr>
        <w:t>，</w:t>
      </w:r>
      <w:r>
        <w:rPr>
          <w:rFonts w:ascii="黑体" w:hAnsi="黑体" w:eastAsia="黑体"/>
          <w:b/>
          <w:sz w:val="24"/>
        </w:rPr>
        <w:t>完成</w:t>
      </w:r>
      <w:r>
        <w:rPr>
          <w:rFonts w:hint="eastAsia" w:ascii="黑体" w:hAnsi="黑体" w:eastAsia="黑体"/>
          <w:b/>
          <w:sz w:val="24"/>
        </w:rPr>
        <w:t>风险</w:t>
      </w:r>
      <w:r>
        <w:rPr>
          <w:rFonts w:ascii="黑体" w:hAnsi="黑体" w:eastAsia="黑体"/>
          <w:b/>
          <w:sz w:val="24"/>
        </w:rPr>
        <w:t>承受能力评估、</w:t>
      </w:r>
      <w:r>
        <w:rPr>
          <w:rFonts w:hint="eastAsia" w:ascii="黑体" w:hAnsi="黑体" w:eastAsia="黑体"/>
          <w:b/>
          <w:sz w:val="24"/>
        </w:rPr>
        <w:t>销售</w:t>
      </w:r>
      <w:r>
        <w:rPr>
          <w:rFonts w:ascii="黑体" w:hAnsi="黑体" w:eastAsia="黑体"/>
          <w:b/>
          <w:sz w:val="24"/>
        </w:rPr>
        <w:t>适当性</w:t>
      </w:r>
      <w:r>
        <w:rPr>
          <w:rFonts w:hint="eastAsia" w:ascii="黑体" w:hAnsi="黑体" w:eastAsia="黑体"/>
          <w:b/>
          <w:sz w:val="24"/>
        </w:rPr>
        <w:t>管理</w:t>
      </w:r>
      <w:r>
        <w:rPr>
          <w:rFonts w:ascii="黑体" w:hAnsi="黑体" w:eastAsia="黑体"/>
          <w:b/>
          <w:sz w:val="24"/>
        </w:rPr>
        <w:t>、反洗钱</w:t>
      </w:r>
      <w:r>
        <w:rPr>
          <w:rFonts w:hint="eastAsia" w:ascii="黑体" w:hAnsi="黑体" w:eastAsia="黑体"/>
          <w:b/>
          <w:sz w:val="24"/>
        </w:rPr>
        <w:t>管理</w:t>
      </w:r>
      <w:r>
        <w:rPr>
          <w:rFonts w:ascii="黑体" w:hAnsi="黑体" w:eastAsia="黑体"/>
          <w:b/>
          <w:sz w:val="24"/>
        </w:rPr>
        <w:t>、非居民</w:t>
      </w:r>
      <w:r>
        <w:rPr>
          <w:rFonts w:hint="eastAsia" w:ascii="黑体" w:hAnsi="黑体" w:eastAsia="黑体"/>
          <w:b/>
          <w:sz w:val="24"/>
        </w:rPr>
        <w:t>金融</w:t>
      </w:r>
      <w:r>
        <w:rPr>
          <w:rFonts w:ascii="黑体" w:hAnsi="黑体" w:eastAsia="黑体"/>
          <w:b/>
          <w:sz w:val="24"/>
        </w:rPr>
        <w:t>账户涉税信息</w:t>
      </w:r>
      <w:r>
        <w:rPr>
          <w:rFonts w:hint="eastAsia" w:ascii="黑体" w:hAnsi="黑体" w:eastAsia="黑体"/>
          <w:b/>
          <w:sz w:val="24"/>
        </w:rPr>
        <w:t>尽职</w:t>
      </w:r>
      <w:r>
        <w:rPr>
          <w:rFonts w:ascii="黑体" w:hAnsi="黑体" w:eastAsia="黑体"/>
          <w:b/>
          <w:sz w:val="24"/>
        </w:rPr>
        <w:t>调查</w:t>
      </w:r>
      <w:r>
        <w:rPr>
          <w:rFonts w:hint="eastAsia" w:ascii="黑体" w:hAnsi="黑体" w:eastAsia="黑体"/>
          <w:b/>
          <w:sz w:val="24"/>
        </w:rPr>
        <w:t>等工作。</w:t>
      </w:r>
    </w:p>
    <w:p w14:paraId="39C11779">
      <w:pPr>
        <w:pStyle w:val="e8fd2d8b"/>
        <w:adjustRightInd w:val="0"/>
        <w:snapToGrid w:val="0"/>
        <w:spacing w:line="312" w:lineRule="auto"/>
        <w:ind w:firstLine="412" w:firstLineChars="171"/>
        <w:jc w:val="left"/>
        <w:rPr>
          <w:rFonts w:ascii="黑体" w:hAnsi="黑体" w:eastAsia="黑体"/>
          <w:b/>
          <w:sz w:val="24"/>
        </w:rPr>
      </w:pPr>
      <w:r>
        <w:rPr>
          <w:rFonts w:hint="eastAsia" w:ascii="黑体" w:hAnsi="黑体" w:eastAsia="黑体"/>
          <w:b/>
          <w:bCs/>
          <w:color w:val="000000"/>
          <w:sz w:val="24"/>
        </w:rPr>
        <w:t>甲方同意，</w:t>
      </w:r>
      <w:r>
        <w:rPr>
          <w:rFonts w:hint="eastAsia" w:ascii="黑体" w:hAnsi="黑体" w:eastAsia="黑体"/>
          <w:b/>
          <w:sz w:val="24"/>
        </w:rPr>
        <w:t>本协议履行</w:t>
      </w:r>
      <w:r>
        <w:rPr>
          <w:rFonts w:ascii="黑体" w:hAnsi="黑体" w:eastAsia="黑体"/>
          <w:b/>
          <w:sz w:val="24"/>
        </w:rPr>
        <w:t>过程中，</w:t>
      </w:r>
      <w:r>
        <w:rPr>
          <w:rFonts w:hint="eastAsia" w:ascii="黑体" w:hAnsi="黑体" w:eastAsia="黑体"/>
          <w:b/>
          <w:sz w:val="24"/>
        </w:rPr>
        <w:t>乙方及</w:t>
      </w:r>
      <w:r>
        <w:rPr>
          <w:rFonts w:ascii="黑体" w:hAnsi="黑体" w:eastAsia="黑体"/>
          <w:b/>
          <w:sz w:val="24"/>
        </w:rPr>
        <w:t>产品管理人</w:t>
      </w:r>
      <w:r>
        <w:rPr>
          <w:rFonts w:hint="eastAsia" w:ascii="黑体" w:hAnsi="黑体" w:eastAsia="黑体"/>
          <w:b/>
          <w:sz w:val="24"/>
        </w:rPr>
        <w:t>需</w:t>
      </w:r>
      <w:r>
        <w:rPr>
          <w:rFonts w:ascii="黑体" w:hAnsi="黑体" w:eastAsia="黑体"/>
          <w:b/>
          <w:sz w:val="24"/>
        </w:rPr>
        <w:t>联系甲方时，</w:t>
      </w:r>
      <w:r>
        <w:rPr>
          <w:rFonts w:hint="eastAsia" w:ascii="黑体" w:hAnsi="黑体" w:eastAsia="黑体"/>
          <w:b/>
          <w:sz w:val="24"/>
        </w:rPr>
        <w:t>乙方及</w:t>
      </w:r>
      <w:r>
        <w:rPr>
          <w:rFonts w:ascii="黑体" w:hAnsi="黑体" w:eastAsia="黑体"/>
          <w:b/>
          <w:sz w:val="24"/>
        </w:rPr>
        <w:t>产品管理人仅按照甲方</w:t>
      </w:r>
      <w:r>
        <w:rPr>
          <w:rFonts w:hint="eastAsia" w:ascii="黑体" w:hAnsi="黑体" w:eastAsia="黑体"/>
          <w:b/>
          <w:sz w:val="24"/>
        </w:rPr>
        <w:t>进行</w:t>
      </w:r>
      <w:r>
        <w:rPr>
          <w:rFonts w:ascii="黑体" w:hAnsi="黑体" w:eastAsia="黑体"/>
          <w:b/>
          <w:sz w:val="24"/>
        </w:rPr>
        <w:t>交易时</w:t>
      </w:r>
      <w:r>
        <w:rPr>
          <w:rFonts w:hint="eastAsia" w:ascii="黑体" w:hAnsi="黑体" w:eastAsia="黑体"/>
          <w:b/>
          <w:sz w:val="24"/>
        </w:rPr>
        <w:t>在乙方</w:t>
      </w:r>
      <w:r>
        <w:rPr>
          <w:rFonts w:ascii="黑体" w:hAnsi="黑体" w:eastAsia="黑体"/>
          <w:b/>
          <w:sz w:val="24"/>
        </w:rPr>
        <w:t>留存的</w:t>
      </w:r>
      <w:r>
        <w:rPr>
          <w:rFonts w:hint="eastAsia" w:ascii="黑体" w:hAnsi="黑体" w:eastAsia="黑体"/>
          <w:b/>
          <w:sz w:val="24"/>
        </w:rPr>
        <w:t>方式</w:t>
      </w:r>
      <w:r>
        <w:rPr>
          <w:rFonts w:ascii="黑体" w:hAnsi="黑体" w:eastAsia="黑体"/>
          <w:b/>
          <w:sz w:val="24"/>
        </w:rPr>
        <w:t>联系甲方</w:t>
      </w:r>
      <w:r>
        <w:rPr>
          <w:rFonts w:hint="eastAsia" w:ascii="黑体" w:hAnsi="黑体" w:eastAsia="黑体"/>
          <w:b/>
          <w:sz w:val="24"/>
        </w:rPr>
        <w:t>，甲方</w:t>
      </w:r>
      <w:r>
        <w:rPr>
          <w:rFonts w:ascii="黑体" w:hAnsi="黑体" w:eastAsia="黑体"/>
          <w:b/>
          <w:sz w:val="24"/>
        </w:rPr>
        <w:t>联系信息如有变更的，应及时通知乙方</w:t>
      </w:r>
      <w:r>
        <w:rPr>
          <w:rFonts w:hint="eastAsia" w:ascii="黑体" w:hAnsi="黑体" w:eastAsia="黑体"/>
          <w:b/>
          <w:sz w:val="24"/>
        </w:rPr>
        <w:t>，</w:t>
      </w:r>
      <w:r>
        <w:rPr>
          <w:rFonts w:ascii="黑体" w:hAnsi="黑体" w:eastAsia="黑体"/>
          <w:b/>
          <w:sz w:val="24"/>
        </w:rPr>
        <w:t>乙方</w:t>
      </w:r>
      <w:r>
        <w:rPr>
          <w:rFonts w:hint="eastAsia" w:ascii="黑体" w:hAnsi="黑体" w:eastAsia="黑体"/>
          <w:b/>
          <w:sz w:val="24"/>
        </w:rPr>
        <w:t>及</w:t>
      </w:r>
      <w:r>
        <w:rPr>
          <w:rFonts w:ascii="黑体" w:hAnsi="黑体" w:eastAsia="黑体"/>
          <w:b/>
          <w:sz w:val="24"/>
        </w:rPr>
        <w:t>产品管理人按照变更后的方式联系甲方。</w:t>
      </w:r>
      <w:r>
        <w:rPr>
          <w:rFonts w:hint="eastAsia" w:ascii="黑体" w:hAnsi="黑体" w:eastAsia="黑体"/>
          <w:b/>
          <w:sz w:val="24"/>
        </w:rPr>
        <w:t>对于</w:t>
      </w:r>
      <w:r>
        <w:rPr>
          <w:rFonts w:ascii="黑体" w:hAnsi="黑体" w:eastAsia="黑体"/>
          <w:b/>
          <w:sz w:val="24"/>
        </w:rPr>
        <w:t>甲方</w:t>
      </w:r>
      <w:r>
        <w:rPr>
          <w:rFonts w:hint="eastAsia" w:ascii="黑体" w:hAnsi="黑体" w:eastAsia="黑体"/>
          <w:b/>
          <w:sz w:val="24"/>
        </w:rPr>
        <w:t>变更</w:t>
      </w:r>
      <w:r>
        <w:rPr>
          <w:rFonts w:ascii="黑体" w:hAnsi="黑体" w:eastAsia="黑体"/>
          <w:b/>
          <w:sz w:val="24"/>
        </w:rPr>
        <w:t>联系信息</w:t>
      </w:r>
      <w:r>
        <w:rPr>
          <w:rFonts w:hint="eastAsia" w:ascii="黑体" w:hAnsi="黑体" w:eastAsia="黑体"/>
          <w:b/>
          <w:sz w:val="24"/>
        </w:rPr>
        <w:t>但并</w:t>
      </w:r>
      <w:r>
        <w:rPr>
          <w:rFonts w:ascii="黑体" w:hAnsi="黑体" w:eastAsia="黑体"/>
          <w:b/>
          <w:sz w:val="24"/>
        </w:rPr>
        <w:t>未按本协议约定及时通知乙方</w:t>
      </w:r>
      <w:r>
        <w:rPr>
          <w:rFonts w:hint="eastAsia" w:ascii="黑体" w:hAnsi="黑体" w:eastAsia="黑体"/>
          <w:b/>
          <w:sz w:val="24"/>
        </w:rPr>
        <w:t>而</w:t>
      </w:r>
      <w:r>
        <w:rPr>
          <w:rFonts w:ascii="黑体" w:hAnsi="黑体" w:eastAsia="黑体"/>
          <w:b/>
          <w:sz w:val="24"/>
        </w:rPr>
        <w:t>造成的损失，</w:t>
      </w:r>
      <w:r>
        <w:rPr>
          <w:rFonts w:hint="eastAsia" w:ascii="黑体" w:hAnsi="黑体" w:eastAsia="黑体"/>
          <w:b/>
          <w:sz w:val="24"/>
        </w:rPr>
        <w:t>由甲方自行</w:t>
      </w:r>
      <w:r>
        <w:rPr>
          <w:rFonts w:ascii="黑体" w:hAnsi="黑体" w:eastAsia="黑体"/>
          <w:b/>
          <w:sz w:val="24"/>
        </w:rPr>
        <w:t>承担。</w:t>
      </w:r>
    </w:p>
    <w:p w14:paraId="39163FE4">
      <w:pPr>
        <w:pStyle w:val="e8fd2d8b"/>
        <w:adjustRightInd w:val="0"/>
        <w:snapToGrid w:val="0"/>
        <w:spacing w:line="312" w:lineRule="auto"/>
        <w:ind w:firstLine="482" w:firstLineChars="200"/>
        <w:rPr>
          <w:rFonts w:ascii="黑体" w:hAnsi="黑体" w:eastAsia="黑体"/>
          <w:b/>
          <w:sz w:val="24"/>
        </w:rPr>
      </w:pPr>
      <w:r>
        <w:rPr>
          <w:rFonts w:hint="eastAsia" w:ascii="黑体" w:hAnsi="黑体" w:eastAsia="黑体"/>
          <w:b/>
          <w:bCs/>
          <w:color w:val="000000"/>
          <w:sz w:val="24"/>
        </w:rPr>
        <w:t>（四）基</w:t>
      </w:r>
      <w:r>
        <w:rPr>
          <w:rFonts w:ascii="黑体" w:hAnsi="黑体" w:eastAsia="黑体"/>
          <w:b/>
          <w:sz w:val="24"/>
        </w:rPr>
        <w:t>于</w:t>
      </w:r>
      <w:r>
        <w:rPr>
          <w:rFonts w:hint="eastAsia" w:ascii="黑体" w:hAnsi="黑体" w:eastAsia="黑体"/>
          <w:b/>
          <w:sz w:val="24"/>
        </w:rPr>
        <w:t>产品管理人</w:t>
      </w:r>
      <w:r>
        <w:rPr>
          <w:rFonts w:ascii="黑体" w:hAnsi="黑体" w:eastAsia="黑体"/>
          <w:b/>
          <w:sz w:val="24"/>
        </w:rPr>
        <w:t>履行</w:t>
      </w:r>
      <w:r>
        <w:rPr>
          <w:rFonts w:hint="eastAsia" w:ascii="黑体" w:hAnsi="黑体" w:eastAsia="黑体"/>
          <w:b/>
          <w:sz w:val="24"/>
        </w:rPr>
        <w:t>理财产品</w:t>
      </w:r>
      <w:r>
        <w:rPr>
          <w:rFonts w:ascii="黑体" w:hAnsi="黑体" w:eastAsia="黑体"/>
          <w:b/>
          <w:sz w:val="24"/>
        </w:rPr>
        <w:t>销售文件所载明的各项</w:t>
      </w:r>
      <w:r>
        <w:rPr>
          <w:rFonts w:hint="eastAsia" w:ascii="黑体" w:hAnsi="黑体" w:eastAsia="黑体"/>
          <w:b/>
          <w:sz w:val="24"/>
        </w:rPr>
        <w:t>义务</w:t>
      </w:r>
      <w:r>
        <w:rPr>
          <w:rFonts w:ascii="黑体" w:hAnsi="黑体" w:eastAsia="黑体"/>
          <w:b/>
          <w:sz w:val="24"/>
        </w:rPr>
        <w:t>、进行服务管理和风险管理、报送监管信息</w:t>
      </w:r>
      <w:r>
        <w:rPr>
          <w:rFonts w:hint="eastAsia" w:ascii="黑体" w:hAnsi="黑体" w:eastAsia="黑体"/>
          <w:b/>
          <w:sz w:val="24"/>
        </w:rPr>
        <w:t>、</w:t>
      </w:r>
      <w:r>
        <w:rPr>
          <w:rFonts w:ascii="黑体" w:hAnsi="黑体" w:eastAsia="黑体"/>
          <w:b/>
          <w:sz w:val="24"/>
        </w:rPr>
        <w:t>履行反洗钱、</w:t>
      </w:r>
      <w:r>
        <w:rPr>
          <w:rFonts w:hint="eastAsia" w:ascii="黑体" w:hAnsi="黑体" w:eastAsia="黑体"/>
          <w:b/>
          <w:sz w:val="24"/>
        </w:rPr>
        <w:t>反恐怖融资、非居民金融账户涉税信息尽职调查、</w:t>
      </w:r>
      <w:r>
        <w:rPr>
          <w:rFonts w:ascii="黑体" w:hAnsi="黑体" w:eastAsia="黑体"/>
          <w:b/>
          <w:sz w:val="24"/>
        </w:rPr>
        <w:t>投资者资质审核和销售适当性等法律法规和监管要求的义务</w:t>
      </w:r>
      <w:r>
        <w:rPr>
          <w:rFonts w:hint="eastAsia" w:ascii="黑体" w:hAnsi="黑体" w:eastAsia="黑体"/>
          <w:b/>
          <w:sz w:val="24"/>
        </w:rPr>
        <w:t>的</w:t>
      </w:r>
      <w:r>
        <w:rPr>
          <w:rFonts w:ascii="黑体" w:hAnsi="黑体" w:eastAsia="黑体"/>
          <w:b/>
          <w:sz w:val="24"/>
        </w:rPr>
        <w:t>需要，甲方授权</w:t>
      </w:r>
      <w:r>
        <w:rPr>
          <w:rFonts w:hint="eastAsia" w:ascii="黑体" w:hAnsi="黑体" w:eastAsia="黑体"/>
          <w:b/>
          <w:sz w:val="24"/>
        </w:rPr>
        <w:t>产品管理人</w:t>
      </w:r>
      <w:r>
        <w:rPr>
          <w:rFonts w:ascii="黑体" w:hAnsi="黑体" w:eastAsia="黑体"/>
          <w:b/>
          <w:sz w:val="24"/>
        </w:rPr>
        <w:t>在业务办理或履行过程中</w:t>
      </w:r>
      <w:r>
        <w:rPr>
          <w:rFonts w:hint="eastAsia" w:ascii="黑体" w:hAnsi="黑体" w:eastAsia="黑体"/>
          <w:b/>
          <w:sz w:val="24"/>
        </w:rPr>
        <w:t>直接</w:t>
      </w:r>
      <w:r>
        <w:rPr>
          <w:rFonts w:ascii="黑体" w:hAnsi="黑体" w:eastAsia="黑体"/>
          <w:b/>
          <w:sz w:val="24"/>
        </w:rPr>
        <w:t>或</w:t>
      </w:r>
      <w:r>
        <w:rPr>
          <w:rFonts w:hint="eastAsia" w:ascii="黑体" w:hAnsi="黑体" w:eastAsia="黑体"/>
          <w:b/>
          <w:sz w:val="24"/>
        </w:rPr>
        <w:t>通过乙方间接获取并报送甲方身份信息、账户信息及其持有理财产品等信息；</w:t>
      </w:r>
      <w:r>
        <w:rPr>
          <w:rFonts w:ascii="黑体" w:hAnsi="黑体" w:eastAsia="黑体"/>
          <w:b/>
          <w:sz w:val="24"/>
        </w:rPr>
        <w:t>在</w:t>
      </w:r>
      <w:r>
        <w:rPr>
          <w:rFonts w:hint="eastAsia" w:ascii="黑体" w:hAnsi="黑体" w:eastAsia="黑体"/>
          <w:b/>
          <w:sz w:val="24"/>
        </w:rPr>
        <w:t>产品</w:t>
      </w:r>
      <w:r>
        <w:rPr>
          <w:rFonts w:ascii="黑体" w:hAnsi="黑体" w:eastAsia="黑体"/>
          <w:b/>
          <w:sz w:val="24"/>
        </w:rPr>
        <w:t>管理人办理本</w:t>
      </w:r>
      <w:r>
        <w:rPr>
          <w:rFonts w:hint="eastAsia" w:ascii="黑体" w:hAnsi="黑体" w:eastAsia="黑体"/>
          <w:b/>
          <w:sz w:val="24"/>
        </w:rPr>
        <w:t>产品</w:t>
      </w:r>
      <w:r>
        <w:rPr>
          <w:rFonts w:ascii="黑体" w:hAnsi="黑体" w:eastAsia="黑体"/>
          <w:b/>
          <w:sz w:val="24"/>
        </w:rPr>
        <w:t>项下相关事项所必需的情形下，甲方同意并授权</w:t>
      </w:r>
      <w:r>
        <w:rPr>
          <w:rFonts w:hint="eastAsia" w:ascii="黑体" w:hAnsi="黑体" w:eastAsia="黑体"/>
          <w:b/>
          <w:sz w:val="24"/>
        </w:rPr>
        <w:t>产品</w:t>
      </w:r>
      <w:r>
        <w:rPr>
          <w:rFonts w:ascii="黑体" w:hAnsi="黑体" w:eastAsia="黑体"/>
          <w:b/>
          <w:sz w:val="24"/>
        </w:rPr>
        <w:t>管理人向</w:t>
      </w:r>
      <w:r>
        <w:rPr>
          <w:rFonts w:hint="eastAsia" w:ascii="黑体" w:hAnsi="黑体" w:eastAsia="黑体"/>
          <w:b/>
          <w:sz w:val="24"/>
        </w:rPr>
        <w:t>其</w:t>
      </w:r>
      <w:r>
        <w:rPr>
          <w:rFonts w:ascii="黑体" w:hAnsi="黑体" w:eastAsia="黑体"/>
          <w:b/>
          <w:sz w:val="24"/>
        </w:rPr>
        <w:t>集团成员、服务机构及其他乙方认为必要的业务合作机构提供</w:t>
      </w:r>
      <w:r>
        <w:rPr>
          <w:rFonts w:hint="eastAsia" w:ascii="黑体" w:hAnsi="黑体" w:eastAsia="黑体"/>
          <w:b/>
          <w:sz w:val="24"/>
        </w:rPr>
        <w:t>其</w:t>
      </w:r>
      <w:r>
        <w:rPr>
          <w:rFonts w:ascii="黑体" w:hAnsi="黑体" w:eastAsia="黑体"/>
          <w:b/>
          <w:sz w:val="24"/>
        </w:rPr>
        <w:t>获取的甲方信息，范围包括但不限于甲方的身份信息、账户信息等</w:t>
      </w:r>
      <w:r>
        <w:rPr>
          <w:rFonts w:hint="eastAsia" w:ascii="黑体" w:hAnsi="黑体" w:eastAsia="黑体"/>
          <w:b/>
          <w:sz w:val="24"/>
        </w:rPr>
        <w:t>，授权使用时限与提供前述服务及履行相关法律法规和监管要求义务的必要时限一致</w:t>
      </w:r>
      <w:r>
        <w:rPr>
          <w:rFonts w:ascii="黑体" w:hAnsi="黑体" w:eastAsia="黑体"/>
          <w:b/>
          <w:sz w:val="24"/>
        </w:rPr>
        <w:t>。接收信息的上述第三方将为处理本协议项下事务之目的接触并按照</w:t>
      </w:r>
      <w:r>
        <w:rPr>
          <w:rFonts w:hint="eastAsia" w:ascii="黑体" w:hAnsi="黑体" w:eastAsia="黑体"/>
          <w:b/>
          <w:sz w:val="24"/>
        </w:rPr>
        <w:t>产品管理人</w:t>
      </w:r>
      <w:r>
        <w:rPr>
          <w:rFonts w:ascii="黑体" w:hAnsi="黑体" w:eastAsia="黑体"/>
          <w:b/>
          <w:sz w:val="24"/>
        </w:rPr>
        <w:t>的业务需要使用甲方信息。</w:t>
      </w:r>
      <w:r>
        <w:rPr>
          <w:rFonts w:hint="eastAsia" w:ascii="黑体" w:hAnsi="黑体" w:eastAsia="黑体"/>
          <w:b/>
          <w:sz w:val="24"/>
        </w:rPr>
        <w:t>产品管理人</w:t>
      </w:r>
      <w:r>
        <w:rPr>
          <w:rFonts w:ascii="黑体" w:hAnsi="黑体" w:eastAsia="黑体"/>
          <w:b/>
          <w:sz w:val="24"/>
        </w:rPr>
        <w:t>将向有关第三方明确其保护甲</w:t>
      </w:r>
      <w:r>
        <w:rPr>
          <w:rFonts w:hint="eastAsia" w:ascii="黑体" w:hAnsi="黑体" w:eastAsia="黑体"/>
          <w:b/>
          <w:sz w:val="24"/>
        </w:rPr>
        <w:t>方信息的职责并要求第三方承担相应保密义务。</w:t>
      </w:r>
    </w:p>
    <w:p w14:paraId="3A26FEEC">
      <w:pPr>
        <w:pStyle w:val="e8fd2d8b"/>
        <w:adjustRightInd w:val="0"/>
        <w:snapToGrid w:val="0"/>
        <w:spacing w:line="312" w:lineRule="auto"/>
        <w:ind w:firstLine="482" w:firstLineChars="200"/>
        <w:rPr>
          <w:rFonts w:ascii="黑体" w:hAnsi="黑体" w:eastAsia="黑体"/>
          <w:b/>
          <w:bCs/>
          <w:color w:val="000000"/>
          <w:sz w:val="24"/>
        </w:rPr>
      </w:pPr>
      <w:r>
        <w:rPr>
          <w:rFonts w:hint="eastAsia" w:ascii="黑体" w:hAnsi="黑体" w:eastAsia="黑体"/>
          <w:b/>
          <w:bCs/>
          <w:color w:val="000000"/>
          <w:sz w:val="24"/>
        </w:rPr>
        <w:t>基</w:t>
      </w:r>
      <w:r>
        <w:rPr>
          <w:rFonts w:ascii="黑体" w:hAnsi="黑体" w:eastAsia="黑体"/>
          <w:b/>
          <w:sz w:val="24"/>
        </w:rPr>
        <w:t>于乙方履行本协议、报送监管信息需要，履行反洗钱、</w:t>
      </w:r>
      <w:r>
        <w:rPr>
          <w:rFonts w:hint="eastAsia" w:ascii="黑体" w:hAnsi="黑体" w:eastAsia="黑体"/>
          <w:b/>
          <w:sz w:val="24"/>
        </w:rPr>
        <w:t>反恐怖融资、非居民金融账户涉税信息尽职调查和</w:t>
      </w:r>
      <w:r>
        <w:rPr>
          <w:rFonts w:ascii="黑体" w:hAnsi="黑体" w:eastAsia="黑体"/>
          <w:b/>
          <w:sz w:val="24"/>
        </w:rPr>
        <w:t>投资者资质审核和销售适当性等法律法规和监管要求的义务，甲方授权乙方在业务办理或履行过程中</w:t>
      </w:r>
      <w:r>
        <w:rPr>
          <w:rFonts w:hint="eastAsia" w:ascii="黑体" w:hAnsi="黑体" w:eastAsia="黑体"/>
          <w:b/>
          <w:sz w:val="24"/>
        </w:rPr>
        <w:t>获取并报送甲方身份信息、账户信息及其持有理财产品等信息；</w:t>
      </w:r>
      <w:r>
        <w:rPr>
          <w:rFonts w:ascii="黑体" w:hAnsi="黑体" w:eastAsia="黑体"/>
          <w:b/>
          <w:sz w:val="24"/>
        </w:rPr>
        <w:t>在乙方办理本协议项下相关事项所必需的情形下，甲方同意并授权乙方向乙方集团成员、服务机构</w:t>
      </w:r>
      <w:r>
        <w:rPr>
          <w:rFonts w:hint="eastAsia" w:ascii="黑体" w:hAnsi="黑体" w:eastAsia="黑体"/>
          <w:b/>
          <w:sz w:val="24"/>
        </w:rPr>
        <w:t>、</w:t>
      </w:r>
      <w:r>
        <w:rPr>
          <w:rFonts w:ascii="黑体" w:hAnsi="黑体" w:eastAsia="黑体"/>
          <w:b/>
          <w:sz w:val="24"/>
        </w:rPr>
        <w:t>产品管理人及其他乙方认为必要的业务合作机构提供乙方获取的甲方信息，范围包括但不限于甲方的身份信息、账户信息等。接收信息的上述第三方将为处理本协议项下事务之目的接触并按照乙方的业务需要使用甲方信息。乙方承诺将向有关第三方明确其保护甲</w:t>
      </w:r>
      <w:r>
        <w:rPr>
          <w:rFonts w:hint="eastAsia" w:ascii="黑体" w:hAnsi="黑体" w:eastAsia="黑体"/>
          <w:b/>
          <w:sz w:val="24"/>
        </w:rPr>
        <w:t>方信息的职责并要求第三方承担相应保密义务。</w:t>
      </w:r>
    </w:p>
    <w:p w14:paraId="4FC6D9C4">
      <w:pPr>
        <w:pStyle w:val="e8fd2d8b"/>
        <w:adjustRightInd w:val="0"/>
        <w:snapToGrid w:val="0"/>
        <w:spacing w:line="312" w:lineRule="auto"/>
        <w:ind w:firstLine="410" w:firstLineChars="170"/>
        <w:jc w:val="left"/>
        <w:rPr>
          <w:rFonts w:ascii="黑体" w:hAnsi="黑体" w:eastAsia="黑体"/>
          <w:b/>
          <w:bCs/>
          <w:color w:val="000000"/>
          <w:sz w:val="24"/>
        </w:rPr>
      </w:pPr>
      <w:r>
        <w:rPr>
          <w:rFonts w:hint="eastAsia" w:ascii="黑体" w:hAnsi="黑体" w:eastAsia="黑体"/>
          <w:b/>
          <w:bCs/>
          <w:color w:val="000000"/>
          <w:sz w:val="24"/>
        </w:rPr>
        <w:t>（五）乙方通过电子渠道向非机构投资者销售理财产品的，将积极采取有效措施和技术手段完整客观记录营销推介、产品风险和关键信息提示、投资者确认和反馈等重点销售环节，确保能够满足回溯检查和核查取证的需要。甲方同意乙方进行上述记录行为。</w:t>
      </w:r>
    </w:p>
    <w:p w14:paraId="0F807DC5">
      <w:pPr>
        <w:pStyle w:val="e8fd2d8b"/>
        <w:adjustRightInd w:val="0"/>
        <w:snapToGrid w:val="0"/>
        <w:spacing w:line="312" w:lineRule="auto"/>
        <w:ind w:firstLine="482" w:firstLineChars="200"/>
        <w:rPr>
          <w:rFonts w:ascii="黑体" w:hAnsi="黑体" w:eastAsia="黑体"/>
          <w:b/>
          <w:sz w:val="24"/>
        </w:rPr>
      </w:pPr>
      <w:r>
        <w:rPr>
          <w:rFonts w:hint="eastAsia" w:ascii="黑体" w:hAnsi="黑体" w:eastAsia="黑体"/>
          <w:b/>
          <w:bCs/>
          <w:sz w:val="24"/>
        </w:rPr>
        <w:t>第十七条</w:t>
      </w:r>
      <w:r>
        <w:rPr>
          <w:rFonts w:hint="eastAsia" w:ascii="黑体" w:hAnsi="黑体" w:eastAsia="黑体"/>
          <w:sz w:val="24"/>
        </w:rPr>
        <w:t xml:space="preserve"> </w:t>
      </w:r>
      <w:r>
        <w:rPr>
          <w:rFonts w:hint="eastAsia" w:ascii="黑体" w:hAnsi="黑体" w:eastAsia="黑体"/>
          <w:b/>
          <w:sz w:val="24"/>
        </w:rPr>
        <w:t>争议处理</w:t>
      </w:r>
    </w:p>
    <w:p w14:paraId="39FB1832">
      <w:pPr>
        <w:pStyle w:val="e8fd2d8b"/>
        <w:adjustRightInd w:val="0"/>
        <w:snapToGrid w:val="0"/>
        <w:spacing w:line="312" w:lineRule="auto"/>
        <w:ind w:firstLine="482" w:firstLineChars="200"/>
        <w:rPr>
          <w:rFonts w:ascii="黑体" w:hAnsi="黑体" w:eastAsia="黑体"/>
          <w:b/>
          <w:sz w:val="24"/>
        </w:rPr>
      </w:pPr>
      <w:r>
        <w:rPr>
          <w:rFonts w:hint="eastAsia" w:ascii="黑体" w:hAnsi="黑体" w:eastAsia="黑体"/>
          <w:b/>
          <w:sz w:val="24"/>
        </w:rPr>
        <w:t>本协议适用中华人民共和国法律。本协议履行过程中所发生的一切争议，双方应本着诚实信用的原则友好协商解决。若协商不成，任何一方可向乙方所在地人民法院起诉。在争议解决期间，若该争议不影响本协议其他条款及其他理财产品</w:t>
      </w:r>
      <w:r>
        <w:rPr>
          <w:rFonts w:ascii="黑体" w:hAnsi="黑体" w:eastAsia="黑体"/>
          <w:b/>
          <w:sz w:val="24"/>
        </w:rPr>
        <w:t>销售文件</w:t>
      </w:r>
      <w:r>
        <w:rPr>
          <w:rFonts w:hint="eastAsia" w:ascii="黑体" w:hAnsi="黑体" w:eastAsia="黑体"/>
          <w:b/>
          <w:sz w:val="24"/>
        </w:rPr>
        <w:t>各条款的履行，前述条款应继续履行。因处理争议产生的费用（包括但不限于律师费、诉讼费等），除法院判决</w:t>
      </w:r>
      <w:r>
        <w:rPr>
          <w:rFonts w:ascii="黑体" w:hAnsi="黑体" w:eastAsia="黑体"/>
          <w:b/>
          <w:sz w:val="24"/>
        </w:rPr>
        <w:t>/裁定另有规定，</w:t>
      </w:r>
      <w:r>
        <w:rPr>
          <w:rFonts w:hint="eastAsia" w:ascii="黑体" w:hAnsi="黑体" w:eastAsia="黑体"/>
          <w:b/>
          <w:sz w:val="24"/>
        </w:rPr>
        <w:t>由败诉方承担。</w:t>
      </w:r>
    </w:p>
    <w:p w14:paraId="311FF678">
      <w:pPr>
        <w:pStyle w:val="e8fd2d8b"/>
        <w:adjustRightInd w:val="0"/>
        <w:snapToGrid w:val="0"/>
        <w:spacing w:line="312" w:lineRule="auto"/>
        <w:ind w:firstLine="482" w:firstLineChars="200"/>
        <w:rPr>
          <w:rFonts w:ascii="黑体" w:hAnsi="黑体" w:eastAsia="黑体"/>
          <w:b/>
          <w:sz w:val="24"/>
        </w:rPr>
      </w:pPr>
      <w:r>
        <w:rPr>
          <w:rFonts w:hint="eastAsia" w:ascii="黑体" w:hAnsi="黑体" w:eastAsia="黑体"/>
          <w:b/>
          <w:bCs/>
          <w:sz w:val="24"/>
        </w:rPr>
        <w:t>第十八条</w:t>
      </w:r>
      <w:r>
        <w:rPr>
          <w:rFonts w:hint="eastAsia" w:ascii="黑体" w:hAnsi="黑体" w:eastAsia="黑体"/>
          <w:b/>
          <w:sz w:val="24"/>
        </w:rPr>
        <w:t xml:space="preserve"> 协议的生效</w:t>
      </w:r>
    </w:p>
    <w:p w14:paraId="1F2C7D11">
      <w:pPr>
        <w:pStyle w:val="e8fd2d8b"/>
        <w:adjustRightInd w:val="0"/>
        <w:snapToGrid w:val="0"/>
        <w:spacing w:line="312" w:lineRule="auto"/>
        <w:ind w:firstLine="480" w:firstLineChars="200"/>
        <w:rPr>
          <w:rFonts w:ascii="黑体" w:hAnsi="黑体" w:eastAsia="黑体"/>
          <w:sz w:val="24"/>
        </w:rPr>
      </w:pPr>
      <w:r>
        <w:rPr>
          <w:rFonts w:hint="eastAsia" w:ascii="黑体" w:hAnsi="黑体" w:eastAsia="黑体"/>
          <w:sz w:val="24"/>
        </w:rPr>
        <w:t>甲方通过乙方营业网点购买本理财产品，本协议于甲方签署（甲方为自然人的，应签字；甲方为机构的，应由其法定代表人（负责人）或授权代理人签字</w:t>
      </w:r>
      <w:r>
        <w:rPr>
          <w:rFonts w:ascii="黑体" w:hAnsi="黑体" w:eastAsia="黑体"/>
          <w:sz w:val="24"/>
        </w:rPr>
        <w:t>/签章并加盖公章；</w:t>
      </w:r>
      <w:r>
        <w:rPr>
          <w:rFonts w:hint="eastAsia" w:ascii="黑体" w:hAnsi="黑体" w:eastAsia="黑体"/>
          <w:sz w:val="24"/>
        </w:rPr>
        <w:t>甲方为资产管理产品的，应加盖产品管理人公章）且产品管理人确认甲方成功认（申）购并收到甲方缴付的全部投资款项之日起生效。</w:t>
      </w:r>
    </w:p>
    <w:p w14:paraId="1C36F0A8">
      <w:pPr>
        <w:pStyle w:val="e8fd2d8b"/>
        <w:widowControl/>
        <w:spacing w:line="312" w:lineRule="auto"/>
        <w:ind w:firstLine="422"/>
        <w:jc w:val="left"/>
        <w:rPr>
          <w:rFonts w:ascii="黑体" w:hAnsi="黑体" w:eastAsia="黑体"/>
          <w:sz w:val="24"/>
        </w:rPr>
      </w:pPr>
      <w:r>
        <w:rPr>
          <w:rFonts w:hint="eastAsia" w:ascii="黑体" w:hAnsi="黑体" w:eastAsia="黑体"/>
          <w:sz w:val="24"/>
        </w:rPr>
        <w:t>甲方通过乙方网上银行、手机银行等线上渠道购买理财产品，本协议经甲方点击同意本协议且产品管理人确认甲方成功认（申）购并收到甲方缴付的全部投资款项之日起生效。双方认可线上点击同意具有与书面签署同等的法律效力。</w:t>
      </w:r>
    </w:p>
    <w:p w14:paraId="4853D8E0">
      <w:pPr>
        <w:pStyle w:val="e8fd2d8b"/>
        <w:widowControl/>
        <w:spacing w:line="312" w:lineRule="auto"/>
        <w:ind w:firstLine="422"/>
        <w:jc w:val="left"/>
        <w:rPr>
          <w:rFonts w:ascii="黑体" w:hAnsi="黑体" w:eastAsia="黑体" w:cs="宋体"/>
          <w:color w:val="666666"/>
          <w:kern w:val="0"/>
          <w:szCs w:val="21"/>
        </w:rPr>
      </w:pPr>
      <w:r>
        <w:rPr>
          <w:rFonts w:hint="eastAsia" w:ascii="黑体" w:hAnsi="黑体" w:eastAsia="黑体"/>
          <w:sz w:val="24"/>
        </w:rPr>
        <w:t>如甲方对所购买的产品或服务有任何疑问、意见或建议，可通过拨打乙方</w:t>
      </w:r>
      <w:r>
        <w:rPr>
          <w:rFonts w:ascii="黑体" w:hAnsi="黑体" w:eastAsia="黑体"/>
          <w:sz w:val="24"/>
        </w:rPr>
        <w:t>客户服务与投诉热线</w:t>
      </w:r>
      <w:r>
        <w:rPr>
          <w:rFonts w:hint="eastAsia" w:ascii="黑体" w:hAnsi="黑体" w:eastAsia="黑体"/>
          <w:sz w:val="24"/>
        </w:rPr>
        <w:t>（0575-96528）</w:t>
      </w:r>
      <w:r>
        <w:rPr>
          <w:rFonts w:ascii="黑体" w:hAnsi="黑体" w:eastAsia="黑体"/>
          <w:sz w:val="24"/>
        </w:rPr>
        <w:t>咨询与反映。</w:t>
      </w:r>
    </w:p>
    <w:p w14:paraId="09DC3B4E">
      <w:pPr>
        <w:pStyle w:val="e8fd2d8b"/>
        <w:adjustRightInd w:val="0"/>
        <w:snapToGrid w:val="0"/>
        <w:spacing w:line="312" w:lineRule="auto"/>
        <w:ind w:firstLine="482" w:firstLineChars="200"/>
        <w:rPr>
          <w:rFonts w:ascii="黑体" w:hAnsi="黑体" w:eastAsia="黑体"/>
          <w:sz w:val="24"/>
        </w:rPr>
      </w:pPr>
      <w:r>
        <w:rPr>
          <w:rFonts w:hint="eastAsia" w:ascii="黑体" w:hAnsi="黑体" w:eastAsia="黑体"/>
          <w:b/>
          <w:sz w:val="24"/>
        </w:rPr>
        <w:t>通过</w:t>
      </w:r>
      <w:r>
        <w:rPr>
          <w:rFonts w:ascii="黑体" w:hAnsi="黑体" w:eastAsia="黑体"/>
          <w:b/>
          <w:sz w:val="24"/>
        </w:rPr>
        <w:t>线上渠道认</w:t>
      </w:r>
      <w:r>
        <w:rPr>
          <w:rFonts w:hint="eastAsia" w:ascii="黑体" w:hAnsi="黑体" w:eastAsia="黑体"/>
          <w:b/>
          <w:sz w:val="24"/>
        </w:rPr>
        <w:t>（申）</w:t>
      </w:r>
      <w:r>
        <w:rPr>
          <w:rFonts w:ascii="黑体" w:hAnsi="黑体" w:eastAsia="黑体"/>
          <w:b/>
          <w:sz w:val="24"/>
        </w:rPr>
        <w:t>购时，</w:t>
      </w:r>
      <w:r>
        <w:rPr>
          <w:rFonts w:hint="eastAsia" w:ascii="黑体" w:hAnsi="黑体" w:eastAsia="黑体"/>
          <w:b/>
          <w:sz w:val="24"/>
        </w:rPr>
        <w:t>甲方</w:t>
      </w:r>
      <w:r>
        <w:rPr>
          <w:rFonts w:ascii="黑体" w:hAnsi="黑体" w:eastAsia="黑体"/>
          <w:b/>
          <w:sz w:val="24"/>
        </w:rPr>
        <w:t>使用的</w:t>
      </w:r>
      <w:r>
        <w:rPr>
          <w:rFonts w:hint="eastAsia" w:ascii="黑体" w:hAnsi="黑体" w:eastAsia="黑体"/>
          <w:b/>
          <w:sz w:val="24"/>
        </w:rPr>
        <w:t>身份</w:t>
      </w:r>
      <w:r>
        <w:rPr>
          <w:rFonts w:ascii="黑体" w:hAnsi="黑体" w:eastAsia="黑体"/>
          <w:b/>
          <w:sz w:val="24"/>
        </w:rPr>
        <w:t>认证要素（</w:t>
      </w:r>
      <w:r>
        <w:rPr>
          <w:rFonts w:hint="eastAsia" w:ascii="黑体" w:hAnsi="黑体" w:eastAsia="黑体"/>
          <w:b/>
          <w:sz w:val="24"/>
        </w:rPr>
        <w:t>包括</w:t>
      </w:r>
      <w:r>
        <w:rPr>
          <w:rFonts w:ascii="黑体" w:hAnsi="黑体" w:eastAsia="黑体"/>
          <w:b/>
          <w:sz w:val="24"/>
        </w:rPr>
        <w:t>但不限于账号、</w:t>
      </w:r>
      <w:r>
        <w:rPr>
          <w:rFonts w:hint="eastAsia" w:ascii="黑体" w:hAnsi="黑体" w:eastAsia="黑体"/>
          <w:b/>
          <w:sz w:val="24"/>
        </w:rPr>
        <w:t>网银</w:t>
      </w:r>
      <w:r>
        <w:rPr>
          <w:rFonts w:ascii="黑体" w:hAnsi="黑体" w:eastAsia="黑体"/>
          <w:b/>
          <w:sz w:val="24"/>
        </w:rPr>
        <w:t>登录名、证件号码、手机号码、密码、数字证书、</w:t>
      </w:r>
      <w:r>
        <w:rPr>
          <w:rFonts w:hint="eastAsia" w:ascii="黑体" w:hAnsi="黑体" w:eastAsia="黑体"/>
          <w:b/>
          <w:sz w:val="24"/>
        </w:rPr>
        <w:t>USBK</w:t>
      </w:r>
      <w:r>
        <w:rPr>
          <w:rFonts w:ascii="黑体" w:hAnsi="黑体" w:eastAsia="黑体"/>
          <w:b/>
          <w:sz w:val="24"/>
        </w:rPr>
        <w:t>ey、动态密码等）</w:t>
      </w:r>
      <w:r>
        <w:rPr>
          <w:rFonts w:hint="eastAsia" w:ascii="黑体" w:hAnsi="黑体" w:eastAsia="黑体"/>
          <w:b/>
          <w:sz w:val="24"/>
        </w:rPr>
        <w:t>或</w:t>
      </w:r>
      <w:r>
        <w:rPr>
          <w:rFonts w:ascii="黑体" w:hAnsi="黑体" w:eastAsia="黑体"/>
          <w:b/>
          <w:sz w:val="24"/>
        </w:rPr>
        <w:t>其他</w:t>
      </w:r>
      <w:r>
        <w:rPr>
          <w:rFonts w:hint="eastAsia" w:ascii="黑体" w:hAnsi="黑体" w:eastAsia="黑体"/>
          <w:b/>
          <w:sz w:val="24"/>
        </w:rPr>
        <w:t>交易</w:t>
      </w:r>
      <w:r>
        <w:rPr>
          <w:rFonts w:ascii="黑体" w:hAnsi="黑体" w:eastAsia="黑体"/>
          <w:b/>
          <w:sz w:val="24"/>
        </w:rPr>
        <w:t>安全措施所完成的一切交易操作均视为甲方所</w:t>
      </w:r>
      <w:r>
        <w:rPr>
          <w:rFonts w:hint="eastAsia" w:ascii="黑体" w:hAnsi="黑体" w:eastAsia="黑体"/>
          <w:b/>
          <w:sz w:val="24"/>
        </w:rPr>
        <w:t>为</w:t>
      </w:r>
      <w:r>
        <w:rPr>
          <w:rFonts w:ascii="黑体" w:hAnsi="黑体" w:eastAsia="黑体"/>
          <w:b/>
          <w:sz w:val="24"/>
        </w:rPr>
        <w:t>，上述操作所产生的业务指令均为处理业务的合法有效凭证，</w:t>
      </w:r>
      <w:r>
        <w:rPr>
          <w:rFonts w:hint="eastAsia" w:ascii="黑体" w:hAnsi="黑体" w:eastAsia="黑体"/>
          <w:b/>
          <w:sz w:val="24"/>
        </w:rPr>
        <w:t>与</w:t>
      </w:r>
      <w:r>
        <w:rPr>
          <w:rFonts w:ascii="黑体" w:hAnsi="黑体" w:eastAsia="黑体"/>
          <w:b/>
          <w:sz w:val="24"/>
        </w:rPr>
        <w:t>在纸质合同上手写签名或盖章具有同等法律效力，双方无需另行签署纸质合同，甲方应对此</w:t>
      </w:r>
      <w:r>
        <w:rPr>
          <w:rFonts w:hint="eastAsia" w:ascii="黑体" w:hAnsi="黑体" w:eastAsia="黑体"/>
          <w:b/>
          <w:sz w:val="24"/>
        </w:rPr>
        <w:t>产生</w:t>
      </w:r>
      <w:r>
        <w:rPr>
          <w:rFonts w:ascii="黑体" w:hAnsi="黑体" w:eastAsia="黑体"/>
          <w:b/>
          <w:sz w:val="24"/>
        </w:rPr>
        <w:t>的后果负责。</w:t>
      </w:r>
      <w:r>
        <w:rPr>
          <w:rFonts w:hint="eastAsia" w:ascii="黑体" w:hAnsi="黑体" w:eastAsia="黑体"/>
          <w:b/>
          <w:sz w:val="24"/>
        </w:rPr>
        <w:t>甲方同意不因</w:t>
      </w:r>
      <w:r>
        <w:rPr>
          <w:rFonts w:ascii="黑体" w:hAnsi="黑体" w:eastAsia="黑体"/>
          <w:b/>
          <w:sz w:val="24"/>
        </w:rPr>
        <w:t>电子合同单方保存在乙方系统而提出异议。</w:t>
      </w:r>
    </w:p>
    <w:p w14:paraId="4E0AFAB0">
      <w:pPr>
        <w:pStyle w:val="e8fd2d8b"/>
        <w:adjustRightInd w:val="0"/>
        <w:snapToGrid w:val="0"/>
        <w:spacing w:line="312" w:lineRule="auto"/>
        <w:ind w:firstLine="482" w:firstLineChars="200"/>
        <w:rPr>
          <w:rFonts w:ascii="黑体" w:hAnsi="黑体" w:eastAsia="黑体"/>
          <w:sz w:val="24"/>
        </w:rPr>
      </w:pPr>
      <w:r>
        <w:rPr>
          <w:rFonts w:hint="eastAsia" w:ascii="黑体" w:hAnsi="黑体" w:eastAsia="黑体"/>
          <w:b/>
          <w:bCs/>
          <w:sz w:val="24"/>
        </w:rPr>
        <w:t xml:space="preserve">第十九条 </w:t>
      </w:r>
      <w:r>
        <w:rPr>
          <w:rFonts w:hint="eastAsia" w:ascii="黑体" w:hAnsi="黑体" w:eastAsia="黑体"/>
          <w:b/>
          <w:sz w:val="24"/>
        </w:rPr>
        <w:t>本协议与本理财产品的《理财产品说明书》、《投资协议书》、《风险揭示书》、《投资者权益须知》等理财产品销售文件共同构成一份完整且不可分割的、关于甲方所投资本理财产品的全部协议。本协议与《理财产品说明书》不一致的，以《理财产品说明书》为准。如果因任何原因使本协议项下的任何条款或内容无效或被依法撤销，本协议其他条款或内容的合法性、有效性和可执行性不受影响。</w:t>
      </w:r>
    </w:p>
    <w:p w14:paraId="05CDCB2F">
      <w:pPr>
        <w:pStyle w:val="e8fd2d8b"/>
        <w:adjustRightInd w:val="0"/>
        <w:snapToGrid w:val="0"/>
        <w:spacing w:line="312" w:lineRule="auto"/>
        <w:rPr>
          <w:rFonts w:ascii="黑体" w:hAnsi="黑体" w:eastAsia="黑体"/>
          <w:bCs/>
          <w:sz w:val="24"/>
        </w:rPr>
      </w:pPr>
    </w:p>
    <w:p w14:paraId="46B095B7">
      <w:pPr>
        <w:pStyle w:val="e8fd2d8b"/>
        <w:adjustRightInd w:val="0"/>
        <w:snapToGrid w:val="0"/>
        <w:spacing w:line="312" w:lineRule="auto"/>
        <w:ind w:firstLine="482" w:firstLineChars="200"/>
        <w:rPr>
          <w:rFonts w:ascii="黑体" w:hAnsi="黑体" w:eastAsia="黑体"/>
          <w:sz w:val="24"/>
        </w:rPr>
      </w:pPr>
      <w:r>
        <w:rPr>
          <w:rFonts w:hint="eastAsia" w:ascii="黑体" w:hAnsi="黑体" w:eastAsia="黑体"/>
          <w:b/>
          <w:sz w:val="24"/>
        </w:rPr>
        <w:t>声明：甲方承诺已经全面理解本协议与本理财产品的《理财产品说明书》、《风险揭示书》、《投资协议书》、《投资者权益须知》等理财产品销售文件的全部条款，充分认识到投资本产品需要承担的风险，并对认（申）购金额予以确认。甲方在此不可撤销地授权乙方按本协议与本理财产品的《理财产品说明书》约定进行划款，无需乙方在划款时另行以电话、传真或其它任何方式与甲方进行最后确认。甲方保证所提供的资料真实、有效，并自愿履行本协议的各项义务，自行承担投资风险，特此确认。</w:t>
      </w:r>
    </w:p>
    <w:p w14:paraId="3A094B23">
      <w:pPr>
        <w:pStyle w:val="e8fd2d8b"/>
        <w:spacing w:line="312" w:lineRule="auto"/>
        <w:ind w:left="63" w:leftChars="30"/>
        <w:jc w:val="left"/>
        <w:rPr>
          <w:rFonts w:ascii="黑体" w:hAnsi="黑体" w:eastAsia="黑体" w:cs="宋体"/>
          <w:b/>
          <w:bCs/>
          <w:kern w:val="0"/>
          <w:sz w:val="24"/>
        </w:rPr>
      </w:pPr>
    </w:p>
    <w:p w14:paraId="425A2E76">
      <w:pPr>
        <w:pStyle w:val="e8fd2d8b"/>
        <w:spacing w:line="312" w:lineRule="auto"/>
        <w:ind w:left="63" w:leftChars="30"/>
        <w:jc w:val="left"/>
        <w:rPr>
          <w:rFonts w:ascii="黑体" w:hAnsi="黑体" w:eastAsia="黑体" w:cs="宋体"/>
          <w:b/>
          <w:bCs/>
          <w:kern w:val="0"/>
          <w:sz w:val="24"/>
        </w:rPr>
      </w:pPr>
      <w:r>
        <w:rPr>
          <w:rFonts w:hint="eastAsia" w:ascii="黑体" w:hAnsi="黑体" w:eastAsia="黑体" w:cs="宋体"/>
          <w:b/>
          <w:bCs/>
          <w:kern w:val="0"/>
          <w:sz w:val="24"/>
        </w:rPr>
        <w:t>甲方签字   ____________</w:t>
      </w:r>
    </w:p>
    <w:p w14:paraId="26EE7363">
      <w:pPr>
        <w:pStyle w:val="e8fd2d8b"/>
        <w:spacing w:line="312" w:lineRule="auto"/>
        <w:ind w:left="63" w:leftChars="30"/>
        <w:jc w:val="left"/>
        <w:rPr>
          <w:rFonts w:ascii="黑体" w:hAnsi="黑体" w:eastAsia="黑体" w:cs="宋体"/>
          <w:b/>
          <w:bCs/>
          <w:kern w:val="0"/>
          <w:sz w:val="24"/>
        </w:rPr>
      </w:pPr>
    </w:p>
    <w:p w14:paraId="7DFAF16F">
      <w:pPr>
        <w:pStyle w:val="e8fd2d8b"/>
        <w:spacing w:line="312" w:lineRule="auto"/>
        <w:ind w:left="63" w:leftChars="30"/>
        <w:jc w:val="left"/>
        <w:rPr>
          <w:rFonts w:ascii="黑体" w:hAnsi="黑体" w:eastAsia="黑体" w:cs="宋体"/>
          <w:b/>
          <w:bCs/>
          <w:kern w:val="0"/>
          <w:sz w:val="24"/>
        </w:rPr>
      </w:pPr>
      <w:r>
        <w:rPr>
          <w:rFonts w:hint="eastAsia" w:ascii="黑体" w:hAnsi="黑体" w:eastAsia="黑体" w:cs="宋体"/>
          <w:b/>
          <w:bCs/>
          <w:kern w:val="0"/>
          <w:sz w:val="24"/>
        </w:rPr>
        <w:t>（</w:t>
      </w:r>
      <w:r>
        <w:rPr>
          <w:rFonts w:ascii="黑体" w:hAnsi="黑体" w:eastAsia="黑体" w:cs="宋体"/>
          <w:b/>
          <w:bCs/>
          <w:kern w:val="0"/>
          <w:sz w:val="24"/>
        </w:rPr>
        <w:t>机构投资者</w:t>
      </w:r>
      <w:r>
        <w:rPr>
          <w:rFonts w:hint="eastAsia" w:ascii="黑体" w:hAnsi="黑体" w:eastAsia="黑体" w:cs="宋体"/>
          <w:b/>
          <w:bCs/>
          <w:kern w:val="0"/>
          <w:sz w:val="24"/>
        </w:rPr>
        <w:t>加</w:t>
      </w:r>
      <w:r>
        <w:rPr>
          <w:rFonts w:ascii="黑体" w:hAnsi="黑体" w:eastAsia="黑体" w:cs="宋体"/>
          <w:b/>
          <w:bCs/>
          <w:kern w:val="0"/>
          <w:sz w:val="24"/>
        </w:rPr>
        <w:t>盖</w:t>
      </w:r>
      <w:r>
        <w:rPr>
          <w:rFonts w:hint="eastAsia" w:ascii="黑体" w:hAnsi="黑体" w:eastAsia="黑体" w:cs="宋体"/>
          <w:b/>
          <w:bCs/>
          <w:kern w:val="0"/>
          <w:sz w:val="24"/>
        </w:rPr>
        <w:t>公</w:t>
      </w:r>
      <w:r>
        <w:rPr>
          <w:rFonts w:ascii="黑体" w:hAnsi="黑体" w:eastAsia="黑体" w:cs="宋体"/>
          <w:b/>
          <w:bCs/>
          <w:kern w:val="0"/>
          <w:sz w:val="24"/>
        </w:rPr>
        <w:t>章）</w:t>
      </w:r>
    </w:p>
    <w:p w14:paraId="2BCE3C69">
      <w:pPr>
        <w:pStyle w:val="e8fd2d8b"/>
        <w:spacing w:line="312" w:lineRule="auto"/>
        <w:ind w:left="63" w:leftChars="30"/>
        <w:jc w:val="left"/>
        <w:rPr>
          <w:rFonts w:ascii="黑体" w:hAnsi="黑体" w:eastAsia="黑体" w:cs="宋体"/>
          <w:b/>
          <w:bCs/>
          <w:kern w:val="0"/>
          <w:sz w:val="24"/>
        </w:rPr>
      </w:pPr>
    </w:p>
    <w:p w14:paraId="5A2BA52E">
      <w:pPr>
        <w:pStyle w:val="e8fd2d8b"/>
        <w:spacing w:line="312" w:lineRule="auto"/>
        <w:ind w:left="63" w:leftChars="30"/>
        <w:jc w:val="left"/>
        <w:rPr>
          <w:rFonts w:ascii="黑体" w:hAnsi="黑体" w:eastAsia="黑体"/>
          <w:sz w:val="24"/>
        </w:rPr>
      </w:pPr>
      <w:r>
        <w:rPr>
          <w:rFonts w:hint="eastAsia" w:ascii="黑体" w:hAnsi="黑体" w:eastAsia="黑体" w:cs="宋体"/>
          <w:b/>
          <w:bCs/>
          <w:kern w:val="0"/>
          <w:sz w:val="24"/>
        </w:rPr>
        <w:t>日期         ____________</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ËÎÌå">
    <w:altName w:val="Arial"/>
    <w:panose1 w:val="00000000000000000000"/>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86DA6"/>
    <w:multiLevelType w:val="singleLevel"/>
    <w:tmpl w:val="17D86DA6"/>
    <w:lvl w:ilvl="0" w:tentative="0">
      <w:start w:val="1"/>
      <w:numFmt w:val="decimal"/>
      <w:suff w:val="nothing"/>
      <w:lvlText w:val="%1、"/>
      <w:lvlJc w:val="left"/>
    </w:lvl>
  </w:abstractNum>
  <w:abstractNum w:abstractNumId="1">
    <w:nsid w:val="62E2561A"/>
    <w:multiLevelType w:val="multilevel"/>
    <w:tmpl w:val="62E2561A"/>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xmlns:aink="http://schemas.microsoft.com/office/drawing/2016/ink" xmlns:w16du="http://schemas.microsoft.com/office/word/2023/wordml/word16du" xmlns:w16se="http://schemas.microsoft.com/office/word/2015/wordml/symex" xmlns:w16sdtdh="http://schemas.microsoft.com/office/word/2020/wordml/sdtdatahash" xmlns:am3d="http://schemas.microsoft.com/office/drawing/2017/model3d" xmlns:oel="http://schemas.microsoft.com/office/2019/extlst" xmlns:w15="http://schemas.microsoft.com/office/word/2012/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cx="http://schemas.microsoft.com/office/drawing/2014/chartex" xmlns:w16cid="http://schemas.microsoft.com/office/word/2016/wordml/cid" w:abstractNumId="2" w15:restartNumberingAfterBreak="0">
    <w:multiLevelType w:val="hybridMultilevel"/>
    <w:lvl w:ilvl="0" w:tplc="F6E2E66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xmlns:aink="http://schemas.microsoft.com/office/drawing/2016/ink" xmlns:w16du="http://schemas.microsoft.com/office/word/2023/wordml/word16du" xmlns:w16se="http://schemas.microsoft.com/office/word/2015/wordml/symex" xmlns:w16sdtdh="http://schemas.microsoft.com/office/word/2020/wordml/sdtdatahash" xmlns:am3d="http://schemas.microsoft.com/office/drawing/2017/model3d" xmlns:oel="http://schemas.microsoft.com/office/2019/extlst" xmlns:w15="http://schemas.microsoft.com/office/word/2012/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cx="http://schemas.microsoft.com/office/drawing/2014/chartex" xmlns:w16cid="http://schemas.microsoft.com/office/word/2016/wordml/cid" w:abstractNumId="3" w15:restartNumberingAfterBreak="0">
    <w:multiLevelType w:val="multilevel"/>
    <w:lvl w:ilvl="0">
      <w:start w:val="1"/>
      <w:numFmt w:val="japaneseCounting"/>
      <w:lvlText w:val="第%1条"/>
      <w:lvlJc w:val="left"/>
      <w:pPr>
        <w:ind w:left="1322" w:hanging="84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xmlns:aink="http://schemas.microsoft.com/office/drawing/2016/ink" xmlns:w16du="http://schemas.microsoft.com/office/word/2023/wordml/word16du" xmlns:w16se="http://schemas.microsoft.com/office/word/2015/wordml/symex" xmlns:w16sdtdh="http://schemas.microsoft.com/office/word/2020/wordml/sdtdatahash" xmlns:am3d="http://schemas.microsoft.com/office/drawing/2017/model3d" xmlns:oel="http://schemas.microsoft.com/office/2019/extlst" xmlns:w15="http://schemas.microsoft.com/office/word/2012/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cx="http://schemas.microsoft.com/office/drawing/2014/chartex" xmlns:w16cid="http://schemas.microsoft.com/office/word/2016/wordml/cid" w:abstractNumId="4" w15:restartNumberingAfterBreak="0">
    <w:multiLevelType w:val="hybridMultilevel"/>
    <w:lvl w:ilvl="0" w:tplc="FDE86EF4">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xmlns:aink="http://schemas.microsoft.com/office/drawing/2016/ink" xmlns:w16se="http://schemas.microsoft.com/office/word/2015/wordml/symex" xmlns:w16sdtdh="http://schemas.microsoft.com/office/word/2020/wordml/sdtdatahash" xmlns:am3d="http://schemas.microsoft.com/office/drawing/2017/model3d" xmlns:oel="http://schemas.microsoft.com/office/2019/extlst" xmlns:w15="http://schemas.microsoft.com/office/word/2012/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cx="http://schemas.microsoft.com/office/drawing/2014/chartex" xmlns:w16cid="http://schemas.microsoft.com/office/word/2016/wordml/cid" w:abstractNumId="5" w15:restartNumberingAfterBreak="0">
    <w:multiLevelType w:val="hybridMultilevel"/>
    <w:lvl w:ilvl="0" w:tplc="F6E2E66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xmlns:aink="http://schemas.microsoft.com/office/drawing/2016/ink" xmlns:w16se="http://schemas.microsoft.com/office/word/2015/wordml/symex" xmlns:w16sdtdh="http://schemas.microsoft.com/office/word/2020/wordml/sdtdatahash" xmlns:am3d="http://schemas.microsoft.com/office/drawing/2017/model3d" xmlns:oel="http://schemas.microsoft.com/office/2019/extlst" xmlns:w15="http://schemas.microsoft.com/office/word/2012/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cx="http://schemas.microsoft.com/office/drawing/2014/chartex" xmlns:w16cid="http://schemas.microsoft.com/office/word/2016/wordml/cid" w:abstractNumId="7" w15:restartNumberingAfterBreak="0">
    <w:multiLevelType w:val="multilevel"/>
    <w:lvl w:ilvl="0">
      <w:start w:val="1"/>
      <w:numFmt w:val="japaneseCounting"/>
      <w:lvlText w:val="第%1条"/>
      <w:lvlJc w:val="left"/>
      <w:pPr>
        <w:ind w:left="1322" w:hanging="84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xmlns:aink="http://schemas.microsoft.com/office/drawing/2016/ink" xmlns:w16se="http://schemas.microsoft.com/office/word/2015/wordml/symex" xmlns:w16sdtdh="http://schemas.microsoft.com/office/word/2020/wordml/sdtdatahash" xmlns:am3d="http://schemas.microsoft.com/office/drawing/2017/model3d" xmlns:oel="http://schemas.microsoft.com/office/2019/extlst" xmlns:w15="http://schemas.microsoft.com/office/word/2012/wordml" xmlns:cx2="http://schemas.microsoft.com/office/drawing/2015/10/21/chartex" xmlns:cx1="http://schemas.microsoft.com/office/drawing/2015/9/8/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cx="http://schemas.microsoft.com/office/drawing/2014/chartex" xmlns:w16cid="http://schemas.microsoft.com/office/word/2016/wordml/cid" w:abstractNumId="6" w15:restartNumberingAfterBreak="0">
    <w:multiLevelType w:val="hybridMultilevel"/>
    <w:lvl w:ilvl="0" w:tplc="FDE86EF4">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multiLevelType w:val="multilevel"/>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M1Mzk5ODEzYTZhMjI3YTY2MDcxNDUyNmIwYTU5MmMifQ=="/>
  </w:docVars>
  <w:rsids>
    <w:rsidRoot w:val="00A31149"/>
    <w:rsid w:val="000018C2"/>
    <w:rsid w:val="00001D80"/>
    <w:rsid w:val="000053E2"/>
    <w:rsid w:val="00005654"/>
    <w:rsid w:val="00006379"/>
    <w:rsid w:val="000068BF"/>
    <w:rsid w:val="0000770E"/>
    <w:rsid w:val="0001114D"/>
    <w:rsid w:val="000143C4"/>
    <w:rsid w:val="00014FEA"/>
    <w:rsid w:val="000158AD"/>
    <w:rsid w:val="000169B9"/>
    <w:rsid w:val="00021629"/>
    <w:rsid w:val="00022EBD"/>
    <w:rsid w:val="00024460"/>
    <w:rsid w:val="0003565A"/>
    <w:rsid w:val="00037FC4"/>
    <w:rsid w:val="000410AC"/>
    <w:rsid w:val="00041DE9"/>
    <w:rsid w:val="000429BE"/>
    <w:rsid w:val="00042C06"/>
    <w:rsid w:val="00043086"/>
    <w:rsid w:val="000501C3"/>
    <w:rsid w:val="00055244"/>
    <w:rsid w:val="00055856"/>
    <w:rsid w:val="00056809"/>
    <w:rsid w:val="00064BF8"/>
    <w:rsid w:val="00071507"/>
    <w:rsid w:val="0007288A"/>
    <w:rsid w:val="00073E0C"/>
    <w:rsid w:val="00074A3D"/>
    <w:rsid w:val="0007522F"/>
    <w:rsid w:val="00080E7D"/>
    <w:rsid w:val="000834F4"/>
    <w:rsid w:val="00086FAE"/>
    <w:rsid w:val="00092433"/>
    <w:rsid w:val="000929E4"/>
    <w:rsid w:val="000939BF"/>
    <w:rsid w:val="00095F2F"/>
    <w:rsid w:val="00095FEF"/>
    <w:rsid w:val="00096434"/>
    <w:rsid w:val="00096F1F"/>
    <w:rsid w:val="00097883"/>
    <w:rsid w:val="000A1163"/>
    <w:rsid w:val="000A15B7"/>
    <w:rsid w:val="000A3FAD"/>
    <w:rsid w:val="000A422B"/>
    <w:rsid w:val="000A4F3C"/>
    <w:rsid w:val="000A6EEB"/>
    <w:rsid w:val="000B1FF5"/>
    <w:rsid w:val="000B2CEE"/>
    <w:rsid w:val="000B2DC7"/>
    <w:rsid w:val="000B380E"/>
    <w:rsid w:val="000B46F8"/>
    <w:rsid w:val="000B4C73"/>
    <w:rsid w:val="000B7C10"/>
    <w:rsid w:val="000D3EC9"/>
    <w:rsid w:val="000D5746"/>
    <w:rsid w:val="000D6CD3"/>
    <w:rsid w:val="000E45DF"/>
    <w:rsid w:val="000E53DF"/>
    <w:rsid w:val="000E56DA"/>
    <w:rsid w:val="000E5720"/>
    <w:rsid w:val="000E645D"/>
    <w:rsid w:val="000F073C"/>
    <w:rsid w:val="000F11DD"/>
    <w:rsid w:val="000F4379"/>
    <w:rsid w:val="000F5284"/>
    <w:rsid w:val="000F54E5"/>
    <w:rsid w:val="000F596C"/>
    <w:rsid w:val="000F5E72"/>
    <w:rsid w:val="0010006E"/>
    <w:rsid w:val="00102E41"/>
    <w:rsid w:val="00103155"/>
    <w:rsid w:val="0010484C"/>
    <w:rsid w:val="00111C6F"/>
    <w:rsid w:val="00111E91"/>
    <w:rsid w:val="001125DB"/>
    <w:rsid w:val="00112CDF"/>
    <w:rsid w:val="00113D9A"/>
    <w:rsid w:val="00116F88"/>
    <w:rsid w:val="00117707"/>
    <w:rsid w:val="00121C90"/>
    <w:rsid w:val="00126F77"/>
    <w:rsid w:val="001318CD"/>
    <w:rsid w:val="0013212B"/>
    <w:rsid w:val="00143600"/>
    <w:rsid w:val="00143CD6"/>
    <w:rsid w:val="00143DA0"/>
    <w:rsid w:val="00144B95"/>
    <w:rsid w:val="00144DCB"/>
    <w:rsid w:val="00147F56"/>
    <w:rsid w:val="001503D4"/>
    <w:rsid w:val="00153223"/>
    <w:rsid w:val="00154F8D"/>
    <w:rsid w:val="00157969"/>
    <w:rsid w:val="001647F9"/>
    <w:rsid w:val="001650E7"/>
    <w:rsid w:val="00165D2A"/>
    <w:rsid w:val="001678DF"/>
    <w:rsid w:val="00171ECA"/>
    <w:rsid w:val="00173881"/>
    <w:rsid w:val="00174737"/>
    <w:rsid w:val="001752DE"/>
    <w:rsid w:val="0017532D"/>
    <w:rsid w:val="00177C17"/>
    <w:rsid w:val="00180BD2"/>
    <w:rsid w:val="001816E2"/>
    <w:rsid w:val="00182811"/>
    <w:rsid w:val="001855EC"/>
    <w:rsid w:val="00187073"/>
    <w:rsid w:val="001870FD"/>
    <w:rsid w:val="001873CB"/>
    <w:rsid w:val="00190A9B"/>
    <w:rsid w:val="00191931"/>
    <w:rsid w:val="0019237D"/>
    <w:rsid w:val="00193147"/>
    <w:rsid w:val="0019468E"/>
    <w:rsid w:val="0019517D"/>
    <w:rsid w:val="0019605D"/>
    <w:rsid w:val="001964E5"/>
    <w:rsid w:val="001A4793"/>
    <w:rsid w:val="001B1D04"/>
    <w:rsid w:val="001B3D3C"/>
    <w:rsid w:val="001B3E67"/>
    <w:rsid w:val="001B5D98"/>
    <w:rsid w:val="001B5DA4"/>
    <w:rsid w:val="001B743D"/>
    <w:rsid w:val="001C6BDA"/>
    <w:rsid w:val="001C7F88"/>
    <w:rsid w:val="001E1812"/>
    <w:rsid w:val="001E29FE"/>
    <w:rsid w:val="001E3547"/>
    <w:rsid w:val="001E36F3"/>
    <w:rsid w:val="001F1557"/>
    <w:rsid w:val="001F183A"/>
    <w:rsid w:val="001F1A04"/>
    <w:rsid w:val="001F5D7E"/>
    <w:rsid w:val="001F7760"/>
    <w:rsid w:val="002018EF"/>
    <w:rsid w:val="00202888"/>
    <w:rsid w:val="00202AC6"/>
    <w:rsid w:val="00203E53"/>
    <w:rsid w:val="00206378"/>
    <w:rsid w:val="002106D2"/>
    <w:rsid w:val="00211D8D"/>
    <w:rsid w:val="00213E2B"/>
    <w:rsid w:val="00214874"/>
    <w:rsid w:val="00221E51"/>
    <w:rsid w:val="00231911"/>
    <w:rsid w:val="0023324E"/>
    <w:rsid w:val="0023494B"/>
    <w:rsid w:val="002375A5"/>
    <w:rsid w:val="00241760"/>
    <w:rsid w:val="00245A4C"/>
    <w:rsid w:val="002466BF"/>
    <w:rsid w:val="002518FD"/>
    <w:rsid w:val="002519E2"/>
    <w:rsid w:val="00254596"/>
    <w:rsid w:val="00256A9B"/>
    <w:rsid w:val="002726C7"/>
    <w:rsid w:val="00275020"/>
    <w:rsid w:val="00275E88"/>
    <w:rsid w:val="00277475"/>
    <w:rsid w:val="0028140D"/>
    <w:rsid w:val="002814BF"/>
    <w:rsid w:val="00282B6B"/>
    <w:rsid w:val="00282F33"/>
    <w:rsid w:val="00283ACF"/>
    <w:rsid w:val="002861B9"/>
    <w:rsid w:val="00286846"/>
    <w:rsid w:val="00286F9E"/>
    <w:rsid w:val="00287649"/>
    <w:rsid w:val="00290D0D"/>
    <w:rsid w:val="00293D09"/>
    <w:rsid w:val="002942D6"/>
    <w:rsid w:val="002946CA"/>
    <w:rsid w:val="00294989"/>
    <w:rsid w:val="00295545"/>
    <w:rsid w:val="002A1254"/>
    <w:rsid w:val="002A1986"/>
    <w:rsid w:val="002A392E"/>
    <w:rsid w:val="002A4B8E"/>
    <w:rsid w:val="002B214B"/>
    <w:rsid w:val="002B4247"/>
    <w:rsid w:val="002B4ADC"/>
    <w:rsid w:val="002B4FAE"/>
    <w:rsid w:val="002B5C72"/>
    <w:rsid w:val="002C1190"/>
    <w:rsid w:val="002C1405"/>
    <w:rsid w:val="002C14DD"/>
    <w:rsid w:val="002C1A8E"/>
    <w:rsid w:val="002C3466"/>
    <w:rsid w:val="002C3528"/>
    <w:rsid w:val="002C5AEC"/>
    <w:rsid w:val="002C5CCF"/>
    <w:rsid w:val="002D0884"/>
    <w:rsid w:val="002D0C13"/>
    <w:rsid w:val="002D264A"/>
    <w:rsid w:val="002D4BB7"/>
    <w:rsid w:val="002E0345"/>
    <w:rsid w:val="002E2457"/>
    <w:rsid w:val="002E531A"/>
    <w:rsid w:val="002E5B74"/>
    <w:rsid w:val="002E6A40"/>
    <w:rsid w:val="002E7E9F"/>
    <w:rsid w:val="002F004E"/>
    <w:rsid w:val="002F12E6"/>
    <w:rsid w:val="002F299F"/>
    <w:rsid w:val="002F2A62"/>
    <w:rsid w:val="002F30E2"/>
    <w:rsid w:val="002F4B79"/>
    <w:rsid w:val="002F503E"/>
    <w:rsid w:val="002F6CB8"/>
    <w:rsid w:val="002F7212"/>
    <w:rsid w:val="00302449"/>
    <w:rsid w:val="00303704"/>
    <w:rsid w:val="00303D00"/>
    <w:rsid w:val="00307C2B"/>
    <w:rsid w:val="00313907"/>
    <w:rsid w:val="00313D27"/>
    <w:rsid w:val="00325B36"/>
    <w:rsid w:val="00326EEB"/>
    <w:rsid w:val="0032700E"/>
    <w:rsid w:val="003335DC"/>
    <w:rsid w:val="0033582D"/>
    <w:rsid w:val="00336A73"/>
    <w:rsid w:val="003376FB"/>
    <w:rsid w:val="003402D5"/>
    <w:rsid w:val="0034353C"/>
    <w:rsid w:val="003440C3"/>
    <w:rsid w:val="0034511E"/>
    <w:rsid w:val="00345C93"/>
    <w:rsid w:val="00346B87"/>
    <w:rsid w:val="00347F3E"/>
    <w:rsid w:val="00351A64"/>
    <w:rsid w:val="003544A3"/>
    <w:rsid w:val="00355583"/>
    <w:rsid w:val="00355F96"/>
    <w:rsid w:val="00361DE6"/>
    <w:rsid w:val="00362A19"/>
    <w:rsid w:val="003710D3"/>
    <w:rsid w:val="00373357"/>
    <w:rsid w:val="00373621"/>
    <w:rsid w:val="00373F4C"/>
    <w:rsid w:val="003823CB"/>
    <w:rsid w:val="00382B3A"/>
    <w:rsid w:val="00391B2A"/>
    <w:rsid w:val="00393286"/>
    <w:rsid w:val="00393437"/>
    <w:rsid w:val="00396A45"/>
    <w:rsid w:val="003A2619"/>
    <w:rsid w:val="003A2C17"/>
    <w:rsid w:val="003A5451"/>
    <w:rsid w:val="003B33F8"/>
    <w:rsid w:val="003B599C"/>
    <w:rsid w:val="003C1BFB"/>
    <w:rsid w:val="003C2CB0"/>
    <w:rsid w:val="003C4FA6"/>
    <w:rsid w:val="003C64B6"/>
    <w:rsid w:val="003C691A"/>
    <w:rsid w:val="003C7B2C"/>
    <w:rsid w:val="003D057C"/>
    <w:rsid w:val="003D09DA"/>
    <w:rsid w:val="003D4B12"/>
    <w:rsid w:val="003D4F42"/>
    <w:rsid w:val="003D7FAB"/>
    <w:rsid w:val="003E0114"/>
    <w:rsid w:val="003E0579"/>
    <w:rsid w:val="003E07CC"/>
    <w:rsid w:val="003E470A"/>
    <w:rsid w:val="003E5E3C"/>
    <w:rsid w:val="003E6146"/>
    <w:rsid w:val="003E67B2"/>
    <w:rsid w:val="003F1AE7"/>
    <w:rsid w:val="003F6B00"/>
    <w:rsid w:val="0040192E"/>
    <w:rsid w:val="00403789"/>
    <w:rsid w:val="00404296"/>
    <w:rsid w:val="004053B8"/>
    <w:rsid w:val="004055C4"/>
    <w:rsid w:val="00416B7F"/>
    <w:rsid w:val="00420792"/>
    <w:rsid w:val="00421E1C"/>
    <w:rsid w:val="00426068"/>
    <w:rsid w:val="00427ED3"/>
    <w:rsid w:val="00432A95"/>
    <w:rsid w:val="00435C81"/>
    <w:rsid w:val="00436680"/>
    <w:rsid w:val="00441491"/>
    <w:rsid w:val="00443E12"/>
    <w:rsid w:val="004461F8"/>
    <w:rsid w:val="00446FEE"/>
    <w:rsid w:val="00447C94"/>
    <w:rsid w:val="00452EB4"/>
    <w:rsid w:val="0045303E"/>
    <w:rsid w:val="0045386E"/>
    <w:rsid w:val="00457710"/>
    <w:rsid w:val="00462E1F"/>
    <w:rsid w:val="004726C8"/>
    <w:rsid w:val="00474737"/>
    <w:rsid w:val="0047705D"/>
    <w:rsid w:val="00477B8D"/>
    <w:rsid w:val="00480E30"/>
    <w:rsid w:val="00480F0D"/>
    <w:rsid w:val="00481261"/>
    <w:rsid w:val="004824B1"/>
    <w:rsid w:val="0048266D"/>
    <w:rsid w:val="00483284"/>
    <w:rsid w:val="00483EA8"/>
    <w:rsid w:val="00485DE8"/>
    <w:rsid w:val="00486283"/>
    <w:rsid w:val="004869B2"/>
    <w:rsid w:val="004916A7"/>
    <w:rsid w:val="00493479"/>
    <w:rsid w:val="004967B9"/>
    <w:rsid w:val="004A04EB"/>
    <w:rsid w:val="004A05CA"/>
    <w:rsid w:val="004A1436"/>
    <w:rsid w:val="004A3806"/>
    <w:rsid w:val="004B0E67"/>
    <w:rsid w:val="004B0F2B"/>
    <w:rsid w:val="004B1D7F"/>
    <w:rsid w:val="004B1DB7"/>
    <w:rsid w:val="004B5B78"/>
    <w:rsid w:val="004B65BC"/>
    <w:rsid w:val="004C19C8"/>
    <w:rsid w:val="004C4BF8"/>
    <w:rsid w:val="004C5DA2"/>
    <w:rsid w:val="004C7C80"/>
    <w:rsid w:val="004D3426"/>
    <w:rsid w:val="004D6968"/>
    <w:rsid w:val="004D77AB"/>
    <w:rsid w:val="004E1A3A"/>
    <w:rsid w:val="004E28B3"/>
    <w:rsid w:val="004E3FCC"/>
    <w:rsid w:val="004E61A3"/>
    <w:rsid w:val="004E66DF"/>
    <w:rsid w:val="004F4663"/>
    <w:rsid w:val="004F5E1E"/>
    <w:rsid w:val="004F7286"/>
    <w:rsid w:val="004F771D"/>
    <w:rsid w:val="00501CC4"/>
    <w:rsid w:val="0050334F"/>
    <w:rsid w:val="00504BDC"/>
    <w:rsid w:val="0050596E"/>
    <w:rsid w:val="00505AA8"/>
    <w:rsid w:val="005075FF"/>
    <w:rsid w:val="00513AE3"/>
    <w:rsid w:val="00520DE6"/>
    <w:rsid w:val="00525623"/>
    <w:rsid w:val="0052711A"/>
    <w:rsid w:val="00527DEB"/>
    <w:rsid w:val="005313F2"/>
    <w:rsid w:val="00547602"/>
    <w:rsid w:val="00550C61"/>
    <w:rsid w:val="005510E7"/>
    <w:rsid w:val="005514F0"/>
    <w:rsid w:val="0055169A"/>
    <w:rsid w:val="0055292E"/>
    <w:rsid w:val="00561B08"/>
    <w:rsid w:val="0056387A"/>
    <w:rsid w:val="005648F0"/>
    <w:rsid w:val="00566FD1"/>
    <w:rsid w:val="00571608"/>
    <w:rsid w:val="00573224"/>
    <w:rsid w:val="005740E0"/>
    <w:rsid w:val="00583469"/>
    <w:rsid w:val="0059283F"/>
    <w:rsid w:val="00593BF6"/>
    <w:rsid w:val="005950C3"/>
    <w:rsid w:val="00595633"/>
    <w:rsid w:val="00597388"/>
    <w:rsid w:val="005A12A4"/>
    <w:rsid w:val="005A1F42"/>
    <w:rsid w:val="005A76ED"/>
    <w:rsid w:val="005B09E9"/>
    <w:rsid w:val="005B562C"/>
    <w:rsid w:val="005B5D1D"/>
    <w:rsid w:val="005B7202"/>
    <w:rsid w:val="005C1E86"/>
    <w:rsid w:val="005C2196"/>
    <w:rsid w:val="005C2B6F"/>
    <w:rsid w:val="005C2BDD"/>
    <w:rsid w:val="005C3A1B"/>
    <w:rsid w:val="005C7270"/>
    <w:rsid w:val="005D2CDB"/>
    <w:rsid w:val="005D455F"/>
    <w:rsid w:val="005D52D1"/>
    <w:rsid w:val="005D6A35"/>
    <w:rsid w:val="005E06E4"/>
    <w:rsid w:val="005E4259"/>
    <w:rsid w:val="005E5F90"/>
    <w:rsid w:val="005E6924"/>
    <w:rsid w:val="005F3190"/>
    <w:rsid w:val="005F35DD"/>
    <w:rsid w:val="00600F72"/>
    <w:rsid w:val="006019AA"/>
    <w:rsid w:val="00602232"/>
    <w:rsid w:val="00602F94"/>
    <w:rsid w:val="0060535C"/>
    <w:rsid w:val="00605FE2"/>
    <w:rsid w:val="00607E9F"/>
    <w:rsid w:val="006100EA"/>
    <w:rsid w:val="0061013E"/>
    <w:rsid w:val="00611BA1"/>
    <w:rsid w:val="0061209B"/>
    <w:rsid w:val="00613DFB"/>
    <w:rsid w:val="00614FE0"/>
    <w:rsid w:val="0061626E"/>
    <w:rsid w:val="006176EE"/>
    <w:rsid w:val="00620CD2"/>
    <w:rsid w:val="00621C10"/>
    <w:rsid w:val="006237F4"/>
    <w:rsid w:val="0062642D"/>
    <w:rsid w:val="006317B4"/>
    <w:rsid w:val="00634282"/>
    <w:rsid w:val="00636397"/>
    <w:rsid w:val="006376C5"/>
    <w:rsid w:val="0064407C"/>
    <w:rsid w:val="00655C95"/>
    <w:rsid w:val="006600FB"/>
    <w:rsid w:val="00660134"/>
    <w:rsid w:val="00665884"/>
    <w:rsid w:val="00670A7C"/>
    <w:rsid w:val="006730CA"/>
    <w:rsid w:val="00673F68"/>
    <w:rsid w:val="006753CA"/>
    <w:rsid w:val="006770F1"/>
    <w:rsid w:val="006845BD"/>
    <w:rsid w:val="006853BB"/>
    <w:rsid w:val="00687454"/>
    <w:rsid w:val="006906D7"/>
    <w:rsid w:val="00690F0D"/>
    <w:rsid w:val="006919AC"/>
    <w:rsid w:val="00692998"/>
    <w:rsid w:val="00692D00"/>
    <w:rsid w:val="00697F48"/>
    <w:rsid w:val="006A460B"/>
    <w:rsid w:val="006A4794"/>
    <w:rsid w:val="006A76F4"/>
    <w:rsid w:val="006B077C"/>
    <w:rsid w:val="006B18F3"/>
    <w:rsid w:val="006B57E6"/>
    <w:rsid w:val="006C36CE"/>
    <w:rsid w:val="006C5AE3"/>
    <w:rsid w:val="006D13B1"/>
    <w:rsid w:val="006D4D89"/>
    <w:rsid w:val="006D7D7A"/>
    <w:rsid w:val="006E0F1B"/>
    <w:rsid w:val="006E1485"/>
    <w:rsid w:val="006E4302"/>
    <w:rsid w:val="006E4599"/>
    <w:rsid w:val="006E5575"/>
    <w:rsid w:val="006E5ECA"/>
    <w:rsid w:val="006F0CBB"/>
    <w:rsid w:val="006F2A1F"/>
    <w:rsid w:val="006F2EAA"/>
    <w:rsid w:val="006F3569"/>
    <w:rsid w:val="006F3AE8"/>
    <w:rsid w:val="006F430C"/>
    <w:rsid w:val="006F4466"/>
    <w:rsid w:val="00701A8A"/>
    <w:rsid w:val="007028AB"/>
    <w:rsid w:val="00706BB1"/>
    <w:rsid w:val="007070D0"/>
    <w:rsid w:val="00711276"/>
    <w:rsid w:val="00713376"/>
    <w:rsid w:val="00716916"/>
    <w:rsid w:val="00716CDB"/>
    <w:rsid w:val="007215E6"/>
    <w:rsid w:val="00722D71"/>
    <w:rsid w:val="007241B1"/>
    <w:rsid w:val="00735E81"/>
    <w:rsid w:val="00736A5A"/>
    <w:rsid w:val="0074104C"/>
    <w:rsid w:val="00741469"/>
    <w:rsid w:val="00741701"/>
    <w:rsid w:val="00743EBB"/>
    <w:rsid w:val="0074458D"/>
    <w:rsid w:val="007479CA"/>
    <w:rsid w:val="00751041"/>
    <w:rsid w:val="0075349A"/>
    <w:rsid w:val="007537BF"/>
    <w:rsid w:val="00761919"/>
    <w:rsid w:val="00761B5B"/>
    <w:rsid w:val="00766919"/>
    <w:rsid w:val="00780971"/>
    <w:rsid w:val="007809E5"/>
    <w:rsid w:val="00781121"/>
    <w:rsid w:val="007846AA"/>
    <w:rsid w:val="00792606"/>
    <w:rsid w:val="00796276"/>
    <w:rsid w:val="007A0DB1"/>
    <w:rsid w:val="007A59BF"/>
    <w:rsid w:val="007A7D39"/>
    <w:rsid w:val="007B029B"/>
    <w:rsid w:val="007B4588"/>
    <w:rsid w:val="007B5378"/>
    <w:rsid w:val="007C24FB"/>
    <w:rsid w:val="007C5F38"/>
    <w:rsid w:val="007C6B13"/>
    <w:rsid w:val="007C77BA"/>
    <w:rsid w:val="007D1F2A"/>
    <w:rsid w:val="007D5182"/>
    <w:rsid w:val="007D53F8"/>
    <w:rsid w:val="007D5FCD"/>
    <w:rsid w:val="007D66AE"/>
    <w:rsid w:val="007D7741"/>
    <w:rsid w:val="007E0C11"/>
    <w:rsid w:val="007E18AE"/>
    <w:rsid w:val="007E7005"/>
    <w:rsid w:val="007E7E21"/>
    <w:rsid w:val="007F0188"/>
    <w:rsid w:val="007F0963"/>
    <w:rsid w:val="00804927"/>
    <w:rsid w:val="00804C91"/>
    <w:rsid w:val="00804FB7"/>
    <w:rsid w:val="00805DC8"/>
    <w:rsid w:val="00806FB7"/>
    <w:rsid w:val="00810F4E"/>
    <w:rsid w:val="00814C83"/>
    <w:rsid w:val="008175F9"/>
    <w:rsid w:val="00821D2D"/>
    <w:rsid w:val="00825E42"/>
    <w:rsid w:val="00827ABC"/>
    <w:rsid w:val="00846D89"/>
    <w:rsid w:val="00851C4B"/>
    <w:rsid w:val="00854417"/>
    <w:rsid w:val="0085443E"/>
    <w:rsid w:val="00856B15"/>
    <w:rsid w:val="00856B81"/>
    <w:rsid w:val="00860096"/>
    <w:rsid w:val="00860E05"/>
    <w:rsid w:val="0086445D"/>
    <w:rsid w:val="00866018"/>
    <w:rsid w:val="008708F9"/>
    <w:rsid w:val="00872B31"/>
    <w:rsid w:val="008836E6"/>
    <w:rsid w:val="00884734"/>
    <w:rsid w:val="008903F1"/>
    <w:rsid w:val="00891326"/>
    <w:rsid w:val="00897E04"/>
    <w:rsid w:val="008A0868"/>
    <w:rsid w:val="008A36BB"/>
    <w:rsid w:val="008A6264"/>
    <w:rsid w:val="008B0A76"/>
    <w:rsid w:val="008B1036"/>
    <w:rsid w:val="008B3541"/>
    <w:rsid w:val="008B5042"/>
    <w:rsid w:val="008B7574"/>
    <w:rsid w:val="008C076B"/>
    <w:rsid w:val="008C1C1D"/>
    <w:rsid w:val="008C31BE"/>
    <w:rsid w:val="008C7E94"/>
    <w:rsid w:val="008D27E3"/>
    <w:rsid w:val="008D45A9"/>
    <w:rsid w:val="008D4E87"/>
    <w:rsid w:val="008D57C0"/>
    <w:rsid w:val="008E0766"/>
    <w:rsid w:val="008E1172"/>
    <w:rsid w:val="008E42CC"/>
    <w:rsid w:val="008E6589"/>
    <w:rsid w:val="008F0F84"/>
    <w:rsid w:val="008F3F33"/>
    <w:rsid w:val="008F4B2F"/>
    <w:rsid w:val="008F6836"/>
    <w:rsid w:val="008F7304"/>
    <w:rsid w:val="00901683"/>
    <w:rsid w:val="00903009"/>
    <w:rsid w:val="00903DA1"/>
    <w:rsid w:val="00903EE3"/>
    <w:rsid w:val="00906FC5"/>
    <w:rsid w:val="0091207A"/>
    <w:rsid w:val="009203C5"/>
    <w:rsid w:val="009204B0"/>
    <w:rsid w:val="009216FF"/>
    <w:rsid w:val="00921981"/>
    <w:rsid w:val="00922248"/>
    <w:rsid w:val="009246C6"/>
    <w:rsid w:val="00924D97"/>
    <w:rsid w:val="00924FAF"/>
    <w:rsid w:val="00925AAB"/>
    <w:rsid w:val="0092747F"/>
    <w:rsid w:val="00930D1F"/>
    <w:rsid w:val="00932546"/>
    <w:rsid w:val="0093659B"/>
    <w:rsid w:val="009417E2"/>
    <w:rsid w:val="009434D6"/>
    <w:rsid w:val="0095097F"/>
    <w:rsid w:val="00951BFD"/>
    <w:rsid w:val="00953AC6"/>
    <w:rsid w:val="0095553C"/>
    <w:rsid w:val="00955CD0"/>
    <w:rsid w:val="009567FA"/>
    <w:rsid w:val="00960727"/>
    <w:rsid w:val="009700CD"/>
    <w:rsid w:val="009708ED"/>
    <w:rsid w:val="0097205E"/>
    <w:rsid w:val="00977B8B"/>
    <w:rsid w:val="00977F3B"/>
    <w:rsid w:val="0098088C"/>
    <w:rsid w:val="0098176C"/>
    <w:rsid w:val="0098353A"/>
    <w:rsid w:val="0099286B"/>
    <w:rsid w:val="00992D43"/>
    <w:rsid w:val="0099471D"/>
    <w:rsid w:val="009A2C97"/>
    <w:rsid w:val="009A32D9"/>
    <w:rsid w:val="009A68AD"/>
    <w:rsid w:val="009B3FD3"/>
    <w:rsid w:val="009B5A1C"/>
    <w:rsid w:val="009B5DF3"/>
    <w:rsid w:val="009B7DE5"/>
    <w:rsid w:val="009C3E33"/>
    <w:rsid w:val="009C4C0F"/>
    <w:rsid w:val="009C5BAB"/>
    <w:rsid w:val="009C63FF"/>
    <w:rsid w:val="009D0530"/>
    <w:rsid w:val="009D3927"/>
    <w:rsid w:val="009E006B"/>
    <w:rsid w:val="009E2B9F"/>
    <w:rsid w:val="009E3A54"/>
    <w:rsid w:val="009E5173"/>
    <w:rsid w:val="009E54B7"/>
    <w:rsid w:val="009E6B36"/>
    <w:rsid w:val="009E7A18"/>
    <w:rsid w:val="009F026D"/>
    <w:rsid w:val="009F0FBE"/>
    <w:rsid w:val="009F4125"/>
    <w:rsid w:val="00A04403"/>
    <w:rsid w:val="00A0467A"/>
    <w:rsid w:val="00A0679C"/>
    <w:rsid w:val="00A07236"/>
    <w:rsid w:val="00A07928"/>
    <w:rsid w:val="00A0792B"/>
    <w:rsid w:val="00A07DF1"/>
    <w:rsid w:val="00A14363"/>
    <w:rsid w:val="00A14423"/>
    <w:rsid w:val="00A16767"/>
    <w:rsid w:val="00A208E7"/>
    <w:rsid w:val="00A209FA"/>
    <w:rsid w:val="00A224D3"/>
    <w:rsid w:val="00A27503"/>
    <w:rsid w:val="00A31149"/>
    <w:rsid w:val="00A32A6F"/>
    <w:rsid w:val="00A37479"/>
    <w:rsid w:val="00A419B8"/>
    <w:rsid w:val="00A42045"/>
    <w:rsid w:val="00A42CAF"/>
    <w:rsid w:val="00A445FA"/>
    <w:rsid w:val="00A47049"/>
    <w:rsid w:val="00A47679"/>
    <w:rsid w:val="00A507DC"/>
    <w:rsid w:val="00A50B24"/>
    <w:rsid w:val="00A512E7"/>
    <w:rsid w:val="00A516AB"/>
    <w:rsid w:val="00A51986"/>
    <w:rsid w:val="00A557BB"/>
    <w:rsid w:val="00A62713"/>
    <w:rsid w:val="00A72799"/>
    <w:rsid w:val="00A72A5F"/>
    <w:rsid w:val="00A737D6"/>
    <w:rsid w:val="00A7640E"/>
    <w:rsid w:val="00A769DF"/>
    <w:rsid w:val="00A81C83"/>
    <w:rsid w:val="00A822D8"/>
    <w:rsid w:val="00A87D48"/>
    <w:rsid w:val="00A918E5"/>
    <w:rsid w:val="00A951FF"/>
    <w:rsid w:val="00A95843"/>
    <w:rsid w:val="00A96AD9"/>
    <w:rsid w:val="00AA0FCA"/>
    <w:rsid w:val="00AA383D"/>
    <w:rsid w:val="00AA4C3D"/>
    <w:rsid w:val="00AB0000"/>
    <w:rsid w:val="00AB09FB"/>
    <w:rsid w:val="00AB2E47"/>
    <w:rsid w:val="00AB47A3"/>
    <w:rsid w:val="00AB7CFD"/>
    <w:rsid w:val="00AC1C5F"/>
    <w:rsid w:val="00AC1ED5"/>
    <w:rsid w:val="00AC2058"/>
    <w:rsid w:val="00AC2292"/>
    <w:rsid w:val="00AC2E86"/>
    <w:rsid w:val="00AC3A51"/>
    <w:rsid w:val="00AC414B"/>
    <w:rsid w:val="00AC6DFF"/>
    <w:rsid w:val="00AD1284"/>
    <w:rsid w:val="00AD165B"/>
    <w:rsid w:val="00AD3201"/>
    <w:rsid w:val="00AD491A"/>
    <w:rsid w:val="00AD57D1"/>
    <w:rsid w:val="00AD5C9A"/>
    <w:rsid w:val="00AD6C38"/>
    <w:rsid w:val="00AE2EE5"/>
    <w:rsid w:val="00AE4B1C"/>
    <w:rsid w:val="00AE57E1"/>
    <w:rsid w:val="00AE69CE"/>
    <w:rsid w:val="00AE72B9"/>
    <w:rsid w:val="00AE7C24"/>
    <w:rsid w:val="00AF223A"/>
    <w:rsid w:val="00AF4F6D"/>
    <w:rsid w:val="00AF5889"/>
    <w:rsid w:val="00AF5E3C"/>
    <w:rsid w:val="00AF622E"/>
    <w:rsid w:val="00AF6740"/>
    <w:rsid w:val="00AF76A4"/>
    <w:rsid w:val="00B02243"/>
    <w:rsid w:val="00B11F90"/>
    <w:rsid w:val="00B14CC3"/>
    <w:rsid w:val="00B14F06"/>
    <w:rsid w:val="00B178EB"/>
    <w:rsid w:val="00B202F0"/>
    <w:rsid w:val="00B21DBB"/>
    <w:rsid w:val="00B26769"/>
    <w:rsid w:val="00B40279"/>
    <w:rsid w:val="00B41338"/>
    <w:rsid w:val="00B520B3"/>
    <w:rsid w:val="00B54913"/>
    <w:rsid w:val="00B54AA3"/>
    <w:rsid w:val="00B63EEB"/>
    <w:rsid w:val="00B64306"/>
    <w:rsid w:val="00B673CA"/>
    <w:rsid w:val="00B70A3B"/>
    <w:rsid w:val="00B71BE9"/>
    <w:rsid w:val="00B751D0"/>
    <w:rsid w:val="00B77519"/>
    <w:rsid w:val="00B814AB"/>
    <w:rsid w:val="00B8592F"/>
    <w:rsid w:val="00B901DF"/>
    <w:rsid w:val="00B9202F"/>
    <w:rsid w:val="00B92A0A"/>
    <w:rsid w:val="00B934ED"/>
    <w:rsid w:val="00B94107"/>
    <w:rsid w:val="00B96678"/>
    <w:rsid w:val="00B9796B"/>
    <w:rsid w:val="00BA063C"/>
    <w:rsid w:val="00BA1F98"/>
    <w:rsid w:val="00BA3CD9"/>
    <w:rsid w:val="00BA6F0D"/>
    <w:rsid w:val="00BA7628"/>
    <w:rsid w:val="00BB338A"/>
    <w:rsid w:val="00BB3458"/>
    <w:rsid w:val="00BB3B97"/>
    <w:rsid w:val="00BB477D"/>
    <w:rsid w:val="00BB51DE"/>
    <w:rsid w:val="00BB5B0D"/>
    <w:rsid w:val="00BB785A"/>
    <w:rsid w:val="00BC204F"/>
    <w:rsid w:val="00BC44E8"/>
    <w:rsid w:val="00BC4BBF"/>
    <w:rsid w:val="00BD677E"/>
    <w:rsid w:val="00BE4FE7"/>
    <w:rsid w:val="00BE5756"/>
    <w:rsid w:val="00BE7FBB"/>
    <w:rsid w:val="00BF0B62"/>
    <w:rsid w:val="00BF21D8"/>
    <w:rsid w:val="00BF30F4"/>
    <w:rsid w:val="00BF3ACC"/>
    <w:rsid w:val="00BF5F5E"/>
    <w:rsid w:val="00BF5FC6"/>
    <w:rsid w:val="00BF7445"/>
    <w:rsid w:val="00C027B2"/>
    <w:rsid w:val="00C039B6"/>
    <w:rsid w:val="00C06505"/>
    <w:rsid w:val="00C12481"/>
    <w:rsid w:val="00C22E09"/>
    <w:rsid w:val="00C22EF2"/>
    <w:rsid w:val="00C22F7E"/>
    <w:rsid w:val="00C23855"/>
    <w:rsid w:val="00C27CD4"/>
    <w:rsid w:val="00C27EE4"/>
    <w:rsid w:val="00C307ED"/>
    <w:rsid w:val="00C344EB"/>
    <w:rsid w:val="00C34AB2"/>
    <w:rsid w:val="00C350FA"/>
    <w:rsid w:val="00C45BE6"/>
    <w:rsid w:val="00C50827"/>
    <w:rsid w:val="00C54A02"/>
    <w:rsid w:val="00C55948"/>
    <w:rsid w:val="00C55A43"/>
    <w:rsid w:val="00C55DC4"/>
    <w:rsid w:val="00C56943"/>
    <w:rsid w:val="00C57678"/>
    <w:rsid w:val="00C57B05"/>
    <w:rsid w:val="00C61CD8"/>
    <w:rsid w:val="00C6438C"/>
    <w:rsid w:val="00C66C49"/>
    <w:rsid w:val="00C75820"/>
    <w:rsid w:val="00C75B4C"/>
    <w:rsid w:val="00C81A06"/>
    <w:rsid w:val="00C86412"/>
    <w:rsid w:val="00C92DE4"/>
    <w:rsid w:val="00C9730A"/>
    <w:rsid w:val="00CA042B"/>
    <w:rsid w:val="00CA5153"/>
    <w:rsid w:val="00CA5436"/>
    <w:rsid w:val="00CA57AA"/>
    <w:rsid w:val="00CA6B71"/>
    <w:rsid w:val="00CB1630"/>
    <w:rsid w:val="00CB2AD2"/>
    <w:rsid w:val="00CB2B4B"/>
    <w:rsid w:val="00CB2BD1"/>
    <w:rsid w:val="00CB5850"/>
    <w:rsid w:val="00CB6162"/>
    <w:rsid w:val="00CB6949"/>
    <w:rsid w:val="00CC4DE5"/>
    <w:rsid w:val="00CC65DE"/>
    <w:rsid w:val="00CD04F1"/>
    <w:rsid w:val="00CD055B"/>
    <w:rsid w:val="00CD1B0D"/>
    <w:rsid w:val="00CD1BA9"/>
    <w:rsid w:val="00CD239F"/>
    <w:rsid w:val="00CD25CF"/>
    <w:rsid w:val="00CD3501"/>
    <w:rsid w:val="00CD7BB6"/>
    <w:rsid w:val="00CE073B"/>
    <w:rsid w:val="00CE1112"/>
    <w:rsid w:val="00CF2A0B"/>
    <w:rsid w:val="00CF3509"/>
    <w:rsid w:val="00D0108C"/>
    <w:rsid w:val="00D141C0"/>
    <w:rsid w:val="00D1420D"/>
    <w:rsid w:val="00D1520E"/>
    <w:rsid w:val="00D157AA"/>
    <w:rsid w:val="00D17292"/>
    <w:rsid w:val="00D26488"/>
    <w:rsid w:val="00D3629F"/>
    <w:rsid w:val="00D36494"/>
    <w:rsid w:val="00D36AE3"/>
    <w:rsid w:val="00D439E2"/>
    <w:rsid w:val="00D45E23"/>
    <w:rsid w:val="00D46043"/>
    <w:rsid w:val="00D52D26"/>
    <w:rsid w:val="00D56D8E"/>
    <w:rsid w:val="00D56F7A"/>
    <w:rsid w:val="00D613D5"/>
    <w:rsid w:val="00D70ECE"/>
    <w:rsid w:val="00D7149B"/>
    <w:rsid w:val="00D80DC1"/>
    <w:rsid w:val="00D854D5"/>
    <w:rsid w:val="00D8685B"/>
    <w:rsid w:val="00D90612"/>
    <w:rsid w:val="00D94B0C"/>
    <w:rsid w:val="00D97A79"/>
    <w:rsid w:val="00DB1585"/>
    <w:rsid w:val="00DB3118"/>
    <w:rsid w:val="00DB63E7"/>
    <w:rsid w:val="00DB6D05"/>
    <w:rsid w:val="00DC78A2"/>
    <w:rsid w:val="00DD1C11"/>
    <w:rsid w:val="00DD3345"/>
    <w:rsid w:val="00DD34D7"/>
    <w:rsid w:val="00DD3D64"/>
    <w:rsid w:val="00DD4F5A"/>
    <w:rsid w:val="00DD504E"/>
    <w:rsid w:val="00DD618D"/>
    <w:rsid w:val="00DE2777"/>
    <w:rsid w:val="00DE2C68"/>
    <w:rsid w:val="00DE4DC9"/>
    <w:rsid w:val="00DE6899"/>
    <w:rsid w:val="00DE6CB3"/>
    <w:rsid w:val="00DE7D80"/>
    <w:rsid w:val="00DF1C90"/>
    <w:rsid w:val="00DF469D"/>
    <w:rsid w:val="00E02564"/>
    <w:rsid w:val="00E05073"/>
    <w:rsid w:val="00E05CCA"/>
    <w:rsid w:val="00E05D7B"/>
    <w:rsid w:val="00E20F8F"/>
    <w:rsid w:val="00E24C31"/>
    <w:rsid w:val="00E24E2D"/>
    <w:rsid w:val="00E2635E"/>
    <w:rsid w:val="00E27CCD"/>
    <w:rsid w:val="00E35E78"/>
    <w:rsid w:val="00E3668C"/>
    <w:rsid w:val="00E436EE"/>
    <w:rsid w:val="00E45FAC"/>
    <w:rsid w:val="00E46906"/>
    <w:rsid w:val="00E47CF0"/>
    <w:rsid w:val="00E50DFC"/>
    <w:rsid w:val="00E51D4B"/>
    <w:rsid w:val="00E53617"/>
    <w:rsid w:val="00E539A8"/>
    <w:rsid w:val="00E57742"/>
    <w:rsid w:val="00E57A67"/>
    <w:rsid w:val="00E618F5"/>
    <w:rsid w:val="00E6240E"/>
    <w:rsid w:val="00E62B4D"/>
    <w:rsid w:val="00E6666F"/>
    <w:rsid w:val="00E70A99"/>
    <w:rsid w:val="00E76916"/>
    <w:rsid w:val="00E77E29"/>
    <w:rsid w:val="00E80480"/>
    <w:rsid w:val="00E80E41"/>
    <w:rsid w:val="00E81628"/>
    <w:rsid w:val="00E842C9"/>
    <w:rsid w:val="00E85CFB"/>
    <w:rsid w:val="00E9036B"/>
    <w:rsid w:val="00E9282F"/>
    <w:rsid w:val="00E92FCE"/>
    <w:rsid w:val="00E94F64"/>
    <w:rsid w:val="00E968B2"/>
    <w:rsid w:val="00EA31F2"/>
    <w:rsid w:val="00EA3EF3"/>
    <w:rsid w:val="00EA56EC"/>
    <w:rsid w:val="00EA76BE"/>
    <w:rsid w:val="00EA7C75"/>
    <w:rsid w:val="00EA7E94"/>
    <w:rsid w:val="00EB0367"/>
    <w:rsid w:val="00EB12C8"/>
    <w:rsid w:val="00EB179F"/>
    <w:rsid w:val="00EB2759"/>
    <w:rsid w:val="00EB4D5B"/>
    <w:rsid w:val="00EB5038"/>
    <w:rsid w:val="00EB63B4"/>
    <w:rsid w:val="00EB7B99"/>
    <w:rsid w:val="00EB7FE3"/>
    <w:rsid w:val="00EC2D44"/>
    <w:rsid w:val="00EC4037"/>
    <w:rsid w:val="00EC4952"/>
    <w:rsid w:val="00ED37F5"/>
    <w:rsid w:val="00ED449B"/>
    <w:rsid w:val="00ED55B0"/>
    <w:rsid w:val="00ED62CE"/>
    <w:rsid w:val="00EE1A58"/>
    <w:rsid w:val="00EE3DAE"/>
    <w:rsid w:val="00EF2C73"/>
    <w:rsid w:val="00EF4659"/>
    <w:rsid w:val="00EF4A8F"/>
    <w:rsid w:val="00EF4AE0"/>
    <w:rsid w:val="00EF60F1"/>
    <w:rsid w:val="00EF6E3F"/>
    <w:rsid w:val="00EF7431"/>
    <w:rsid w:val="00F02591"/>
    <w:rsid w:val="00F029EE"/>
    <w:rsid w:val="00F0647D"/>
    <w:rsid w:val="00F11D79"/>
    <w:rsid w:val="00F154F6"/>
    <w:rsid w:val="00F22744"/>
    <w:rsid w:val="00F31533"/>
    <w:rsid w:val="00F3481E"/>
    <w:rsid w:val="00F34BAF"/>
    <w:rsid w:val="00F42BEA"/>
    <w:rsid w:val="00F44CDF"/>
    <w:rsid w:val="00F5191C"/>
    <w:rsid w:val="00F52435"/>
    <w:rsid w:val="00F5255D"/>
    <w:rsid w:val="00F53ACD"/>
    <w:rsid w:val="00F55F50"/>
    <w:rsid w:val="00F56281"/>
    <w:rsid w:val="00F56C32"/>
    <w:rsid w:val="00F705CE"/>
    <w:rsid w:val="00F70E29"/>
    <w:rsid w:val="00F80BC4"/>
    <w:rsid w:val="00F86B9A"/>
    <w:rsid w:val="00F87CE5"/>
    <w:rsid w:val="00F90792"/>
    <w:rsid w:val="00F91730"/>
    <w:rsid w:val="00F9446A"/>
    <w:rsid w:val="00F94FA3"/>
    <w:rsid w:val="00F96C37"/>
    <w:rsid w:val="00F973C5"/>
    <w:rsid w:val="00F97BD4"/>
    <w:rsid w:val="00FA187E"/>
    <w:rsid w:val="00FA2988"/>
    <w:rsid w:val="00FA3F9F"/>
    <w:rsid w:val="00FA790B"/>
    <w:rsid w:val="00FB195B"/>
    <w:rsid w:val="00FB2E05"/>
    <w:rsid w:val="00FB3E3F"/>
    <w:rsid w:val="00FB3F44"/>
    <w:rsid w:val="00FB42F9"/>
    <w:rsid w:val="00FB5026"/>
    <w:rsid w:val="00FB53BB"/>
    <w:rsid w:val="00FB6244"/>
    <w:rsid w:val="00FC177B"/>
    <w:rsid w:val="00FC3A96"/>
    <w:rsid w:val="00FC5027"/>
    <w:rsid w:val="00FC6A64"/>
    <w:rsid w:val="00FC7A71"/>
    <w:rsid w:val="00FD2C67"/>
    <w:rsid w:val="00FD31EC"/>
    <w:rsid w:val="00FD60E8"/>
    <w:rsid w:val="00FD6347"/>
    <w:rsid w:val="00FD6F03"/>
    <w:rsid w:val="00FD718F"/>
    <w:rsid w:val="00FE0A49"/>
    <w:rsid w:val="00FE0D5B"/>
    <w:rsid w:val="00FF0040"/>
    <w:rsid w:val="00FF109F"/>
    <w:rsid w:val="00FF1112"/>
    <w:rsid w:val="00FF17F7"/>
    <w:rsid w:val="00FF32F7"/>
    <w:rsid w:val="00FF3377"/>
    <w:rsid w:val="00FF7AC5"/>
    <w:rsid w:val="01431A4A"/>
    <w:rsid w:val="01BF0A9C"/>
    <w:rsid w:val="02703232"/>
    <w:rsid w:val="028C40BD"/>
    <w:rsid w:val="044E25A7"/>
    <w:rsid w:val="058F3D1F"/>
    <w:rsid w:val="06644D36"/>
    <w:rsid w:val="097815DF"/>
    <w:rsid w:val="09F15B59"/>
    <w:rsid w:val="0BF22133"/>
    <w:rsid w:val="0C651573"/>
    <w:rsid w:val="0DE36171"/>
    <w:rsid w:val="0E3A31F9"/>
    <w:rsid w:val="0F7237D5"/>
    <w:rsid w:val="10D75D0B"/>
    <w:rsid w:val="118729DB"/>
    <w:rsid w:val="134852D1"/>
    <w:rsid w:val="15517A30"/>
    <w:rsid w:val="15DA59D5"/>
    <w:rsid w:val="18640F9A"/>
    <w:rsid w:val="1B520158"/>
    <w:rsid w:val="1C1A2968"/>
    <w:rsid w:val="1D992397"/>
    <w:rsid w:val="1E5F7ACC"/>
    <w:rsid w:val="20051D6F"/>
    <w:rsid w:val="22961430"/>
    <w:rsid w:val="239C5AB3"/>
    <w:rsid w:val="26BE2EAD"/>
    <w:rsid w:val="272B001E"/>
    <w:rsid w:val="288712D2"/>
    <w:rsid w:val="290220EB"/>
    <w:rsid w:val="29205910"/>
    <w:rsid w:val="2AEB08D9"/>
    <w:rsid w:val="2B62794A"/>
    <w:rsid w:val="2BDB4420"/>
    <w:rsid w:val="2C2676BB"/>
    <w:rsid w:val="2EBA0CEE"/>
    <w:rsid w:val="2FAD2601"/>
    <w:rsid w:val="328272AA"/>
    <w:rsid w:val="33A351F1"/>
    <w:rsid w:val="343D361F"/>
    <w:rsid w:val="34BD5094"/>
    <w:rsid w:val="382344C2"/>
    <w:rsid w:val="398919E9"/>
    <w:rsid w:val="3A540249"/>
    <w:rsid w:val="3C180FA7"/>
    <w:rsid w:val="3C3E2F5F"/>
    <w:rsid w:val="3DB873D7"/>
    <w:rsid w:val="3DC75DC7"/>
    <w:rsid w:val="3EED166D"/>
    <w:rsid w:val="401A5B03"/>
    <w:rsid w:val="40502588"/>
    <w:rsid w:val="40B23B84"/>
    <w:rsid w:val="40EB5042"/>
    <w:rsid w:val="43036D85"/>
    <w:rsid w:val="445D30AA"/>
    <w:rsid w:val="458B21D7"/>
    <w:rsid w:val="4682613E"/>
    <w:rsid w:val="469B0815"/>
    <w:rsid w:val="46E841F3"/>
    <w:rsid w:val="46FA1DAD"/>
    <w:rsid w:val="495458D4"/>
    <w:rsid w:val="49834125"/>
    <w:rsid w:val="4DD87918"/>
    <w:rsid w:val="4FEB481F"/>
    <w:rsid w:val="50554811"/>
    <w:rsid w:val="531915BA"/>
    <w:rsid w:val="561E5DC8"/>
    <w:rsid w:val="56A7237F"/>
    <w:rsid w:val="59686DF4"/>
    <w:rsid w:val="59A5180B"/>
    <w:rsid w:val="5B8E7768"/>
    <w:rsid w:val="5BC218D4"/>
    <w:rsid w:val="5EB21E5A"/>
    <w:rsid w:val="5FE827BB"/>
    <w:rsid w:val="60B80559"/>
    <w:rsid w:val="61AD7969"/>
    <w:rsid w:val="61B01959"/>
    <w:rsid w:val="67130AA3"/>
    <w:rsid w:val="680F6149"/>
    <w:rsid w:val="69964238"/>
    <w:rsid w:val="6A3D76F7"/>
    <w:rsid w:val="6C7942E2"/>
    <w:rsid w:val="6D3F3DAC"/>
    <w:rsid w:val="6DC1537D"/>
    <w:rsid w:val="71CF5DF0"/>
    <w:rsid w:val="761A7020"/>
    <w:rsid w:val="76AF6FDA"/>
    <w:rsid w:val="76ED43D8"/>
    <w:rsid w:val="77794777"/>
    <w:rsid w:val="794F33AE"/>
    <w:rsid w:val="79BE65FC"/>
    <w:rsid w:val="7B1E11D5"/>
    <w:rsid w:val="7B2912E3"/>
    <w:rsid w:val="7C025CE4"/>
    <w:rsid w:val="7C574A54"/>
    <w:rsid w:val="7D9F2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黑体" w:asciiTheme="minorHAnsi" w:hAnsiTheme="minorHAnsi"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5"/>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1 字符"/>
    <w:basedOn w:val="8"/>
    <w:link w:val="2"/>
    <w:qFormat/>
    <w:uiPriority w:val="9"/>
    <w:rPr>
      <w:b/>
      <w:bCs/>
      <w:kern w:val="44"/>
      <w:sz w:val="44"/>
      <w:szCs w:val="44"/>
    </w:rPr>
  </w:style>
  <w:style w:type="paragraph" w:styleId="13">
    <w:name w:val="List Paragraph"/>
    <w:basedOn w:val="1"/>
    <w:qFormat/>
    <w:uiPriority w:val="34"/>
    <w:pPr>
      <w:ind w:firstLine="420" w:firstLineChars="200"/>
    </w:pPr>
  </w:style>
  <w:style w:type="paragraph" w:customStyle="1" w:styleId="14">
    <w:name w:val="说明书正文粗"/>
    <w:basedOn w:val="15"/>
    <w:next w:val="15"/>
    <w:link w:val="16"/>
    <w:autoRedefine/>
    <w:qFormat/>
    <w:uiPriority w:val="0"/>
    <w:rPr>
      <w:b/>
    </w:rPr>
  </w:style>
  <w:style w:type="paragraph" w:customStyle="1" w:styleId="15">
    <w:name w:val="说明书正文细"/>
    <w:basedOn w:val="1"/>
    <w:link w:val="18"/>
    <w:qFormat/>
    <w:uiPriority w:val="0"/>
    <w:pPr>
      <w:autoSpaceDE w:val="0"/>
      <w:autoSpaceDN w:val="0"/>
      <w:adjustRightInd w:val="0"/>
    </w:pPr>
    <w:rPr>
      <w:rFonts w:ascii="黑体" w:hAnsi="黑体" w:cs="宋体"/>
      <w:kern w:val="0"/>
      <w:szCs w:val="21"/>
    </w:rPr>
  </w:style>
  <w:style w:type="character" w:customStyle="1" w:styleId="16">
    <w:name w:val="说明书正文粗 字符"/>
    <w:basedOn w:val="8"/>
    <w:link w:val="14"/>
    <w:qFormat/>
    <w:uiPriority w:val="0"/>
    <w:rPr>
      <w:rFonts w:ascii="黑体" w:hAnsi="黑体" w:eastAsia="黑体" w:cs="宋体"/>
      <w:b/>
      <w:kern w:val="0"/>
      <w:szCs w:val="21"/>
    </w:rPr>
  </w:style>
  <w:style w:type="paragraph" w:customStyle="1" w:styleId="17">
    <w:name w:val="说明书标题"/>
    <w:basedOn w:val="1"/>
    <w:link w:val="19"/>
    <w:qFormat/>
    <w:uiPriority w:val="0"/>
    <w:pPr>
      <w:autoSpaceDE w:val="0"/>
      <w:autoSpaceDN w:val="0"/>
      <w:adjustRightInd w:val="0"/>
      <w:ind w:firstLine="420"/>
      <w:jc w:val="center"/>
    </w:pPr>
    <w:rPr>
      <w:rFonts w:ascii="黑体" w:hAnsi="黑体" w:cs="宋体"/>
      <w:kern w:val="0"/>
      <w:sz w:val="44"/>
      <w:szCs w:val="44"/>
    </w:rPr>
  </w:style>
  <w:style w:type="character" w:customStyle="1" w:styleId="18">
    <w:name w:val="说明书正文细 字符"/>
    <w:basedOn w:val="8"/>
    <w:link w:val="15"/>
    <w:qFormat/>
    <w:uiPriority w:val="0"/>
    <w:rPr>
      <w:rFonts w:ascii="黑体" w:hAnsi="黑体" w:eastAsia="黑体" w:cs="宋体"/>
      <w:kern w:val="0"/>
      <w:szCs w:val="21"/>
    </w:rPr>
  </w:style>
  <w:style w:type="character" w:customStyle="1" w:styleId="19">
    <w:name w:val="说明书标题 字符"/>
    <w:basedOn w:val="8"/>
    <w:link w:val="17"/>
    <w:qFormat/>
    <w:uiPriority w:val="0"/>
    <w:rPr>
      <w:rFonts w:ascii="黑体" w:hAnsi="黑体" w:eastAsia="黑体" w:cs="宋体"/>
      <w:kern w:val="0"/>
      <w:sz w:val="44"/>
      <w:szCs w:val="44"/>
    </w:rPr>
  </w:style>
  <w:style w:type="table" w:customStyle="1" w:styleId="20">
    <w:name w:val="说明书表格"/>
    <w:basedOn w:val="6"/>
    <w:qFormat/>
    <w:uiPriority w:val="99"/>
    <w:rPr>
      <w:rFonts w:eastAsia="黑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说明书表格字体"/>
    <w:basedOn w:val="1"/>
    <w:link w:val="23"/>
    <w:qFormat/>
    <w:uiPriority w:val="0"/>
    <w:pPr>
      <w:autoSpaceDE w:val="0"/>
      <w:autoSpaceDN w:val="0"/>
      <w:adjustRightInd w:val="0"/>
      <w:jc w:val="left"/>
    </w:pPr>
    <w:rPr>
      <w:rFonts w:ascii="黑体" w:hAnsi="黑体" w:cs="黑体"/>
      <w:kern w:val="0"/>
      <w:szCs w:val="21"/>
    </w:rPr>
  </w:style>
  <w:style w:type="paragraph" w:customStyle="1" w:styleId="22">
    <w:name w:val="说明书正文"/>
    <w:basedOn w:val="1"/>
    <w:link w:val="24"/>
    <w:qFormat/>
    <w:uiPriority w:val="0"/>
    <w:pPr>
      <w:autoSpaceDE w:val="0"/>
      <w:autoSpaceDN w:val="0"/>
      <w:adjustRightInd w:val="0"/>
      <w:ind w:firstLine="420" w:firstLineChars="200"/>
    </w:pPr>
    <w:rPr>
      <w:rFonts w:ascii="黑体" w:hAnsi="黑体" w:cs="黑体"/>
      <w:kern w:val="0"/>
      <w:szCs w:val="21"/>
    </w:rPr>
  </w:style>
  <w:style w:type="character" w:customStyle="1" w:styleId="23">
    <w:name w:val="说明书表格字体 字符"/>
    <w:basedOn w:val="8"/>
    <w:link w:val="21"/>
    <w:qFormat/>
    <w:uiPriority w:val="0"/>
    <w:rPr>
      <w:rFonts w:ascii="黑体" w:hAnsi="黑体" w:eastAsia="黑体" w:cs="黑体"/>
      <w:kern w:val="0"/>
      <w:szCs w:val="21"/>
    </w:rPr>
  </w:style>
  <w:style w:type="character" w:customStyle="1" w:styleId="24">
    <w:name w:val="说明书正文 字符"/>
    <w:basedOn w:val="8"/>
    <w:link w:val="22"/>
    <w:qFormat/>
    <w:uiPriority w:val="0"/>
    <w:rPr>
      <w:rFonts w:ascii="黑体" w:hAnsi="黑体" w:eastAsia="黑体" w:cs="黑体"/>
      <w:kern w:val="0"/>
      <w:szCs w:val="21"/>
    </w:rPr>
  </w:style>
  <w:style w:type="character" w:customStyle="1" w:styleId="25">
    <w:name w:val="批注框文本 字符"/>
    <w:basedOn w:val="8"/>
    <w:link w:val="3"/>
    <w:semiHidden/>
    <w:qFormat/>
    <w:uiPriority w:val="99"/>
    <w:rPr>
      <w:rFonts w:eastAsia="黑体"/>
      <w:sz w:val="18"/>
      <w:szCs w:val="18"/>
    </w:rPr>
  </w:style>
  <w:style w:type="paragraph" w:customStyle="1" w:styleId="26">
    <w:name w:val="Revision"/>
    <w:hidden/>
    <w:semiHidden/>
    <w:qFormat/>
    <w:uiPriority w:val="99"/>
    <w:rPr>
      <w:rFonts w:eastAsia="黑体" w:asciiTheme="minorHAnsi" w:hAnsiTheme="minorHAnsi" w:cstheme="minorBidi"/>
      <w:kern w:val="2"/>
      <w:sz w:val="21"/>
      <w:szCs w:val="22"/>
      <w:lang w:val="en-US" w:eastAsia="zh-CN" w:bidi="ar-SA"/>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a">
    <w:name w:val="Normala"/>
    <w:qFormat/>
    <w:rsid w:val="005E3442"/>
    <w:pPr>
      <w:widowControl w:val="0"/>
      <w:jc w:val="both"/>
    </w:pPr>
    <w:rPr>
      <w:rFonts w:eastAsia="黑体"/>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bddedff8">
    <w:name w:val="heading 1bddedff8"/>
    <w:basedOn w:val="a"/>
    <w:next w:val="a"/>
    <w:link w:val="10"/>
    <w:uiPriority w:val="9"/>
    <w:qFormat/>
    <w:rsid w:val="0010006E"/>
    <w:pPr>
      <w:keepNext/>
      <w:keepLines/>
      <w:spacing w:before="340" w:after="330" w:line="578" w:lineRule="auto"/>
      <w:outlineLvl w:val="0"/>
    </w:pPr>
    <w:rPr>
      <w:b/>
      <w:bCs/>
      <w:kern w:val="44"/>
      <w:sz w:val="44"/>
      <w:szCs w:val="44"/>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styleId="a0">
    <w:name w:val="Default Paragraph Fonta0"/>
    <w:uiPriority w:val="1"/>
    <w:semiHidden/>
    <w:unhideWhenUsed/>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table" w:styleId="a1">
    <w:name w:val="Normal Tablea1"/>
    <w:uiPriority w:val="99"/>
    <w:semiHidden/>
    <w:unhideWhenUsed/>
    <w:tblPr>
      <w:tblInd w:w="0" w:type="dxa"/>
      <w:tblCellMar>
        <w:top w:w="0" w:type="dxa"/>
        <w:left w:w="108" w:type="dxa"/>
        <w:bottom w:w="0" w:type="dxa"/>
        <w:right w:w="108" w:type="dxa"/>
      </w:tblCellMar>
    </w:tbl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numbering" w:styleId="a2">
    <w:name w:val="No Lista2"/>
    <w:uiPriority w:val="99"/>
    <w:semiHidden/>
    <w:unhideWhenUsed/>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a3">
    <w:name w:val="headera3"/>
    <w:basedOn w:val="a"/>
    <w:link w:val="a4"/>
    <w:uiPriority w:val="99"/>
    <w:unhideWhenUsed/>
    <w:rsid w:val="006E4302"/>
    <w:pPr>
      <w:pBdr>
        <w:bottom w:val="single" w:sz="6" w:space="1" w:color="auto"/>
      </w:pBdr>
      <w:tabs>
        <w:tab w:val="center" w:pos="4153"/>
        <w:tab w:val="right" w:pos="8306"/>
      </w:tabs>
      <w:snapToGrid w:val="0"/>
      <w:jc w:val="center"/>
    </w:pPr>
    <w:rPr>
      <w:sz w:val="18"/>
      <w:szCs w:val="1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customStyle="1" w:styleId="a4">
    <w:name w:val="页眉 字符a4"/>
    <w:basedOn w:val="a0"/>
    <w:link w:val="a3"/>
    <w:uiPriority w:val="99"/>
    <w:rsid w:val="006E4302"/>
    <w:rPr>
      <w:sz w:val="18"/>
      <w:szCs w:val="1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a5">
    <w:name w:val="footera5"/>
    <w:basedOn w:val="a"/>
    <w:link w:val="a6"/>
    <w:uiPriority w:val="99"/>
    <w:unhideWhenUsed/>
    <w:qFormat/>
    <w:rsid w:val="006E4302"/>
    <w:pPr>
      <w:tabs>
        <w:tab w:val="center" w:pos="4153"/>
        <w:tab w:val="right" w:pos="8306"/>
      </w:tabs>
      <w:snapToGrid w:val="0"/>
      <w:jc w:val="left"/>
    </w:pPr>
    <w:rPr>
      <w:sz w:val="18"/>
      <w:szCs w:val="1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customStyle="1" w:styleId="a6">
    <w:name w:val="页脚 字符a6"/>
    <w:basedOn w:val="a0"/>
    <w:link w:val="a5"/>
    <w:uiPriority w:val="99"/>
    <w:qFormat/>
    <w:rsid w:val="006E4302"/>
    <w:rPr>
      <w:sz w:val="18"/>
      <w:szCs w:val="18"/>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customStyle="1" w:styleId="ed27b7c5">
    <w:name w:val="标题 1 字符ed27b7c5"/>
    <w:basedOn w:val="a0"/>
    <w:link w:val="1"/>
    <w:uiPriority w:val="9"/>
    <w:rsid w:val="0010006E"/>
    <w:rPr>
      <w:b/>
      <w:bCs/>
      <w:kern w:val="44"/>
      <w:sz w:val="44"/>
      <w:szCs w:val="44"/>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a7">
    <w:name w:val="List Paragrapha7"/>
    <w:basedOn w:val="a"/>
    <w:uiPriority w:val="34"/>
    <w:qFormat/>
    <w:rsid w:val="0010006E"/>
    <w:pPr>
      <w:ind w:firstLineChars="200" w:firstLine="420"/>
    </w:p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a8">
    <w:name w:val="文本标题a8"/>
    <w:basedOn w:val="a"/>
    <w:link w:val="a9"/>
    <w:qFormat/>
    <w:rsid w:val="005E3442"/>
    <w:pPr>
      <w:jc w:val="center"/>
    </w:pPr>
    <w:rPr>
      <w:rFonts w:ascii="黑体" w:cs="Times New Roman"/>
      <w:b/>
      <w:sz w:val="44"/>
      <w:szCs w:val="44"/>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customStyle="1" w:styleId="a9">
    <w:name w:val="文本标题 字符a9"/>
    <w:basedOn w:val="a0"/>
    <w:link w:val="a8"/>
    <w:rsid w:val="005E3442"/>
    <w:rPr>
      <w:rFonts w:ascii="黑体" w:eastAsia="黑体" w:cs="Times New Roman"/>
      <w:b/>
      <w:sz w:val="44"/>
      <w:szCs w:val="44"/>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aa">
    <w:name w:val="文本正文aa"/>
    <w:basedOn w:val="a"/>
    <w:link w:val="ab"/>
    <w:qFormat/>
    <w:rsid w:val="005E3442"/>
    <w:pPr>
      <w:spacing w:line="312" w:lineRule="auto"/>
    </w:pPr>
    <w:rPr>
      <w:rFonts w:ascii="宋体" w:eastAsia="宋体" w:hAnsi="宋体" w:cs="Times New Roman"/>
      <w:color w:val="000000"/>
      <w:sz w:val="24"/>
      <w:szCs w:val="24"/>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customStyle="1" w:styleId="ab">
    <w:name w:val="文本正文 字符ab"/>
    <w:basedOn w:val="a0"/>
    <w:link w:val="aa"/>
    <w:rsid w:val="005E3442"/>
    <w:rPr>
      <w:rFonts w:ascii="宋体" w:eastAsia="宋体" w:hAnsi="宋体" w:cs="Times New Roman"/>
      <w:color w:val="000000"/>
      <w:sz w:val="24"/>
      <w:szCs w:val="24"/>
    </w:r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table" w:customStyle="1" w:styleId="cd781bf4">
    <w:name w:val="网格型1cd781bf4"/>
    <w:basedOn w:val="a1"/>
    <w:next w:val="ac"/>
    <w:uiPriority w:val="39"/>
    <w:rsid w:val="005E3442"/>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table" w:styleId="ac">
    <w:name w:val="Table Gridac"/>
    <w:basedOn w:val="a1"/>
    <w:uiPriority w:val="39"/>
    <w:rsid w:val="005E3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xmlns:w16cex="http://schemas.microsoft.com/office/word/2018/wordml/cex" xmlns:w16du="http://schemas.microsoft.com/office/word/2023/wordml/word16du"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ad">
    <w:name w:val="Revisionad"/>
    <w:hidden/>
    <w:uiPriority w:val="99"/>
    <w:semiHidden/>
    <w:rsid w:val="00ED578F"/>
    <w:rPr>
      <w:rFonts w:eastAsia="黑体"/>
    </w:rPr>
  </w:style>
  <w:style w:type="paragraph" w:styleId="23997a72">
    <w:name w:val="Normal23997a72"/>
    <w:qFormat/>
    <w:uiPriority w:val="0"/>
    <w:pPr>
      <w:widowControl w:val="0"/>
      <w:jc w:val="both"/>
    </w:pPr>
    <w:rPr>
      <w:rFonts w:eastAsia="黑体" w:asciiTheme="minorHAnsi" w:hAnsiTheme="minorHAnsi" w:cstheme="minorBidi"/>
      <w:kern w:val="2"/>
      <w:sz w:val="21"/>
      <w:szCs w:val="22"/>
      <w:lang w:val="en-US" w:eastAsia="zh-CN" w:bidi="ar-SA"/>
    </w:rPr>
  </w:style>
  <w:style w:type="paragraph" w:styleId="cc84fd3f">
    <w:name w:val="heading 1cc84fd3f"/>
    <w:basedOn w:val="23997a72"/>
    <w:next w:val="1"/>
    <w:link w:val="10"/>
    <w:qFormat/>
    <w:uiPriority w:val="9"/>
    <w:pPr>
      <w:keepNext/>
      <w:keepLines/>
      <w:spacing w:before="340" w:after="330" w:line="578" w:lineRule="auto"/>
      <w:outlineLvl w:val="0"/>
    </w:pPr>
    <w:rPr>
      <w:b/>
      <w:bCs/>
      <w:kern w:val="44"/>
      <w:sz w:val="44"/>
      <w:szCs w:val="44"/>
    </w:rPr>
  </w:style>
  <w:style w:type="character" w:styleId="f27787cd">
    <w:name w:val="Default Paragraph Fontf27787cd"/>
    <w:semiHidden/>
    <w:unhideWhenUsed/>
    <w:qFormat/>
    <w:uiPriority w:val="1"/>
  </w:style>
  <w:style w:type="table" w:styleId="f10e4738">
    <w:name w:val="Normal Tablef10e4738"/>
    <w:semiHidden/>
    <w:unhideWhenUsed/>
    <w:qFormat/>
    <w:uiPriority w:val="99"/>
    <w:tblPr>
      <w:tblCellMar>
        <w:top w:w="0" w:type="dxa"/>
        <w:left w:w="108" w:type="dxa"/>
        <w:bottom w:w="0" w:type="dxa"/>
        <w:right w:w="108" w:type="dxa"/>
      </w:tblCellMar>
    </w:tblPr>
  </w:style>
  <w:style w:type="paragraph" w:styleId="413e4bee">
    <w:name w:val="footer413e4bee"/>
    <w:basedOn w:val="23997a72"/>
    <w:link w:val="9"/>
    <w:unhideWhenUsed/>
    <w:qFormat/>
    <w:uiPriority w:val="99"/>
    <w:pPr>
      <w:tabs>
        <w:tab w:val="center" w:pos="4153"/>
        <w:tab w:val="right" w:pos="8306"/>
      </w:tabs>
      <w:snapToGrid w:val="0"/>
      <w:jc w:val="left"/>
    </w:pPr>
    <w:rPr>
      <w:sz w:val="18"/>
      <w:szCs w:val="18"/>
    </w:rPr>
  </w:style>
  <w:style w:type="paragraph" w:styleId="d43e27d4">
    <w:name w:val="headerd43e27d4"/>
    <w:basedOn w:val="23997a72"/>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ec4863e2">
    <w:name w:val="Table Gridec4863e2"/>
    <w:basedOn w:val="f10e47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da49f2e2">
    <w:name w:val="页眉 字符da49f2e2"/>
    <w:basedOn w:val="f27787cd"/>
    <w:link w:val="4"/>
    <w:qFormat/>
    <w:uiPriority w:val="99"/>
    <w:rPr>
      <w:sz w:val="18"/>
      <w:szCs w:val="18"/>
    </w:rPr>
  </w:style>
  <w:style w:type="character" w:customStyle="1" w:styleId="c0e4c878">
    <w:name w:val="页脚 字符c0e4c878"/>
    <w:basedOn w:val="f27787cd"/>
    <w:link w:val="3"/>
    <w:qFormat/>
    <w:uiPriority w:val="99"/>
    <w:rPr>
      <w:sz w:val="18"/>
      <w:szCs w:val="18"/>
    </w:rPr>
  </w:style>
  <w:style w:type="character" w:customStyle="1" w:styleId="28ecec6a">
    <w:name w:val="标题 1 字符28ecec6a"/>
    <w:basedOn w:val="f27787cd"/>
    <w:link w:val="2"/>
    <w:qFormat/>
    <w:uiPriority w:val="9"/>
    <w:rPr>
      <w:b/>
      <w:bCs/>
      <w:kern w:val="44"/>
      <w:sz w:val="44"/>
      <w:szCs w:val="44"/>
    </w:rPr>
  </w:style>
  <w:style w:type="paragraph" w:styleId="ab899e1a">
    <w:name w:val="List Paragraphab899e1a"/>
    <w:basedOn w:val="23997a72"/>
    <w:qFormat/>
    <w:uiPriority w:val="34"/>
    <w:pPr>
      <w:ind w:firstLine="420" w:firstLineChars="200"/>
    </w:pPr>
  </w:style>
  <w:style w:type="paragraph" w:customStyle="1" w:styleId="a569da44">
    <w:name w:val="文本标题a569da44"/>
    <w:basedOn w:val="23997a72"/>
    <w:link w:val="13"/>
    <w:qFormat/>
    <w:uiPriority w:val="0"/>
    <w:pPr>
      <w:jc w:val="center"/>
    </w:pPr>
    <w:rPr>
      <w:rFonts w:ascii="黑体" w:cs="Times New Roman"/>
      <w:b/>
      <w:sz w:val="44"/>
      <w:szCs w:val="44"/>
    </w:rPr>
  </w:style>
  <w:style w:type="character" w:customStyle="1" w:styleId="e2a9c7bb">
    <w:name w:val="文本标题 字符e2a9c7bb"/>
    <w:basedOn w:val="f27787cd"/>
    <w:link w:val="12"/>
    <w:qFormat/>
    <w:uiPriority w:val="0"/>
    <w:rPr>
      <w:rFonts w:ascii="黑体" w:eastAsia="黑体" w:cs="Times New Roman"/>
      <w:b/>
      <w:sz w:val="44"/>
      <w:szCs w:val="44"/>
    </w:rPr>
  </w:style>
  <w:style w:type="paragraph" w:customStyle="1" w:styleId="4d8695a3">
    <w:name w:val="文本正文4d8695a3"/>
    <w:basedOn w:val="23997a72"/>
    <w:link w:val="15"/>
    <w:qFormat/>
    <w:uiPriority w:val="0"/>
    <w:pPr>
      <w:spacing w:line="312" w:lineRule="auto"/>
    </w:pPr>
    <w:rPr>
      <w:rFonts w:ascii="宋体" w:hAnsi="宋体" w:eastAsia="宋体" w:cs="Times New Roman"/>
      <w:color w:val="000000"/>
      <w:sz w:val="24"/>
      <w:szCs w:val="24"/>
    </w:rPr>
  </w:style>
  <w:style w:type="character" w:customStyle="1" w:styleId="df31ac84">
    <w:name w:val="文本正文 字符df31ac84"/>
    <w:basedOn w:val="f27787cd"/>
    <w:link w:val="14"/>
    <w:qFormat/>
    <w:uiPriority w:val="0"/>
    <w:rPr>
      <w:rFonts w:ascii="宋体" w:hAnsi="宋体" w:eastAsia="宋体" w:cs="Times New Roman"/>
      <w:color w:val="000000"/>
      <w:sz w:val="24"/>
      <w:szCs w:val="24"/>
    </w:rPr>
  </w:style>
  <w:style w:type="table" w:customStyle="1" w:styleId="90502400">
    <w:name w:val="网格型190502400"/>
    <w:basedOn w:val="f10e4738"/>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31b645">
    <w:name w:val="Revision3531b645"/>
    <w:hidden/>
    <w:semiHidden/>
    <w:qFormat/>
    <w:uiPriority w:val="99"/>
    <w:rPr>
      <w:rFonts w:eastAsia="黑体" w:asciiTheme="minorHAnsi" w:hAnsiTheme="minorHAnsi" w:cstheme="minorBidi"/>
      <w:kern w:val="2"/>
      <w:sz w:val="21"/>
      <w:szCs w:val="22"/>
      <w:lang w:val="en-US" w:eastAsia="zh-CN" w:bidi="ar-SA"/>
    </w:rPr>
  </w:style>
  <w:style xmlns:w16cex="http://schemas.microsoft.com/office/word/2018/wordml/cex"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0836842b">
    <w:name w:val="Normal0836842b"/>
    <w:qFormat/>
    <w:rsid w:val="005E3442"/>
    <w:pPr>
      <w:widowControl w:val="0"/>
      <w:jc w:val="both"/>
    </w:pPr>
    <w:rPr>
      <w:rFonts w:eastAsia="黑体"/>
    </w:rPr>
  </w:style>
  <w:style xmlns:w16cex="http://schemas.microsoft.com/office/word/2018/wordml/cex"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9bb7d28c">
    <w:name w:val="heading 19bb7d28c"/>
    <w:basedOn w:val="0836842b"/>
    <w:next w:val="a"/>
    <w:link w:val="10"/>
    <w:uiPriority w:val="9"/>
    <w:qFormat/>
    <w:rsid w:val="0010006E"/>
    <w:pPr>
      <w:keepNext/>
      <w:keepLines/>
      <w:spacing w:before="340" w:after="330" w:line="578" w:lineRule="auto"/>
      <w:outlineLvl w:val="0"/>
    </w:pPr>
    <w:rPr>
      <w:b/>
      <w:bCs/>
      <w:kern w:val="44"/>
      <w:sz w:val="44"/>
      <w:szCs w:val="44"/>
    </w:rPr>
  </w:style>
  <w:style xmlns:w16cex="http://schemas.microsoft.com/office/word/2018/wordml/cex"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styleId="7b000d35">
    <w:name w:val="Default Paragraph Font7b000d35"/>
    <w:uiPriority w:val="1"/>
    <w:semiHidden/>
    <w:unhideWhenUsed/>
  </w:style>
  <w:style xmlns:w16cex="http://schemas.microsoft.com/office/word/2018/wordml/cex"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table" w:styleId="58982b3a">
    <w:name w:val="Normal Table58982b3a"/>
    <w:uiPriority w:val="99"/>
    <w:semiHidden/>
    <w:unhideWhenUsed/>
    <w:tblPr>
      <w:tblInd w:w="0" w:type="dxa"/>
      <w:tblCellMar>
        <w:top w:w="0" w:type="dxa"/>
        <w:left w:w="108" w:type="dxa"/>
        <w:bottom w:w="0" w:type="dxa"/>
        <w:right w:w="108" w:type="dxa"/>
      </w:tblCellMar>
    </w:tblPr>
  </w:style>
  <w:style xmlns:w16cex="http://schemas.microsoft.com/office/word/2018/wordml/cex"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numbering" w:styleId="bbebabbd">
    <w:name w:val="No Listbbebabbd"/>
    <w:uiPriority w:val="99"/>
    <w:semiHidden/>
    <w:unhideWhenUsed/>
  </w:style>
  <w:style xmlns:w16cex="http://schemas.microsoft.com/office/word/2018/wordml/cex"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849b17e8">
    <w:name w:val="header849b17e8"/>
    <w:basedOn w:val="0836842b"/>
    <w:link w:val="a4"/>
    <w:uiPriority w:val="99"/>
    <w:unhideWhenUsed/>
    <w:rsid w:val="006E4302"/>
    <w:pPr>
      <w:pBdr>
        <w:bottom w:val="single" w:sz="6" w:space="1" w:color="auto"/>
      </w:pBdr>
      <w:tabs>
        <w:tab w:val="center" w:pos="4153"/>
        <w:tab w:val="right" w:pos="8306"/>
      </w:tabs>
      <w:snapToGrid w:val="0"/>
      <w:jc w:val="center"/>
    </w:pPr>
    <w:rPr>
      <w:sz w:val="18"/>
      <w:szCs w:val="18"/>
    </w:rPr>
  </w:style>
  <w:style xmlns:w16cex="http://schemas.microsoft.com/office/word/2018/wordml/cex"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customStyle="1" w:styleId="a87f18a0">
    <w:name w:val="页眉 字符a87f18a0"/>
    <w:basedOn w:val="7b000d35"/>
    <w:link w:val="a3"/>
    <w:uiPriority w:val="99"/>
    <w:rsid w:val="006E4302"/>
    <w:rPr>
      <w:sz w:val="18"/>
      <w:szCs w:val="18"/>
    </w:rPr>
  </w:style>
  <w:style xmlns:w16cex="http://schemas.microsoft.com/office/word/2018/wordml/cex"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45a5ae88">
    <w:name w:val="footer45a5ae88"/>
    <w:basedOn w:val="0836842b"/>
    <w:link w:val="a6"/>
    <w:uiPriority w:val="99"/>
    <w:unhideWhenUsed/>
    <w:qFormat/>
    <w:rsid w:val="006E4302"/>
    <w:pPr>
      <w:tabs>
        <w:tab w:val="center" w:pos="4153"/>
        <w:tab w:val="right" w:pos="8306"/>
      </w:tabs>
      <w:snapToGrid w:val="0"/>
      <w:jc w:val="left"/>
    </w:pPr>
    <w:rPr>
      <w:sz w:val="18"/>
      <w:szCs w:val="18"/>
    </w:rPr>
  </w:style>
  <w:style xmlns:w16cex="http://schemas.microsoft.com/office/word/2018/wordml/cex"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customStyle="1" w:styleId="7a48e839">
    <w:name w:val="页脚 字符7a48e839"/>
    <w:basedOn w:val="7b000d35"/>
    <w:link w:val="a5"/>
    <w:uiPriority w:val="99"/>
    <w:qFormat/>
    <w:rsid w:val="006E4302"/>
    <w:rPr>
      <w:sz w:val="18"/>
      <w:szCs w:val="18"/>
    </w:rPr>
  </w:style>
  <w:style xmlns:w16cex="http://schemas.microsoft.com/office/word/2018/wordml/cex"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customStyle="1" w:styleId="5503bfb6">
    <w:name w:val="标题 1 字符5503bfb6"/>
    <w:basedOn w:val="7b000d35"/>
    <w:link w:val="1"/>
    <w:uiPriority w:val="9"/>
    <w:rsid w:val="0010006E"/>
    <w:rPr>
      <w:b/>
      <w:bCs/>
      <w:kern w:val="44"/>
      <w:sz w:val="44"/>
      <w:szCs w:val="44"/>
    </w:rPr>
  </w:style>
  <w:style xmlns:w16cex="http://schemas.microsoft.com/office/word/2018/wordml/cex"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be9a502c">
    <w:name w:val="List Paragraphbe9a502c"/>
    <w:basedOn w:val="0836842b"/>
    <w:uiPriority w:val="34"/>
    <w:qFormat/>
    <w:rsid w:val="0010006E"/>
    <w:pPr>
      <w:ind w:firstLineChars="200" w:firstLine="420"/>
    </w:pPr>
  </w:style>
  <w:style xmlns:w16cex="http://schemas.microsoft.com/office/word/2018/wordml/cex"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aba8154d">
    <w:name w:val="文本标题aba8154d"/>
    <w:basedOn w:val="0836842b"/>
    <w:link w:val="a9"/>
    <w:qFormat/>
    <w:rsid w:val="005E3442"/>
    <w:pPr>
      <w:jc w:val="center"/>
    </w:pPr>
    <w:rPr>
      <w:rFonts w:ascii="黑体" w:cs="Times New Roman"/>
      <w:b/>
      <w:sz w:val="44"/>
      <w:szCs w:val="44"/>
    </w:rPr>
  </w:style>
  <w:style xmlns:w16cex="http://schemas.microsoft.com/office/word/2018/wordml/cex"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customStyle="1" w:styleId="c88ff5eb">
    <w:name w:val="文本标题 字符c88ff5eb"/>
    <w:basedOn w:val="7b000d35"/>
    <w:link w:val="a8"/>
    <w:rsid w:val="005E3442"/>
    <w:rPr>
      <w:rFonts w:ascii="黑体" w:eastAsia="黑体" w:cs="Times New Roman"/>
      <w:b/>
      <w:sz w:val="44"/>
      <w:szCs w:val="44"/>
    </w:rPr>
  </w:style>
  <w:style xmlns:w16cex="http://schemas.microsoft.com/office/word/2018/wordml/cex"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customStyle="1" w:styleId="6239dfe1">
    <w:name w:val="文本正文6239dfe1"/>
    <w:basedOn w:val="0836842b"/>
    <w:link w:val="ab"/>
    <w:qFormat/>
    <w:rsid w:val="005E3442"/>
    <w:pPr>
      <w:spacing w:line="312" w:lineRule="auto"/>
    </w:pPr>
    <w:rPr>
      <w:rFonts w:ascii="宋体" w:eastAsia="宋体" w:hAnsi="宋体" w:cs="Times New Roman"/>
      <w:color w:val="000000"/>
      <w:sz w:val="24"/>
      <w:szCs w:val="24"/>
    </w:rPr>
  </w:style>
  <w:style xmlns:w16cex="http://schemas.microsoft.com/office/word/2018/wordml/cex"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character" w:customStyle="1" w:styleId="e309fd02">
    <w:name w:val="文本正文 字符e309fd02"/>
    <w:basedOn w:val="7b000d35"/>
    <w:link w:val="aa"/>
    <w:rsid w:val="005E3442"/>
    <w:rPr>
      <w:rFonts w:ascii="宋体" w:eastAsia="宋体" w:hAnsi="宋体" w:cs="Times New Roman"/>
      <w:color w:val="000000"/>
      <w:sz w:val="24"/>
      <w:szCs w:val="24"/>
    </w:rPr>
  </w:style>
  <w:style xmlns:w16cex="http://schemas.microsoft.com/office/word/2018/wordml/cex"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table" w:customStyle="1" w:styleId="307e2cb7">
    <w:name w:val="网格型1307e2cb7"/>
    <w:basedOn w:val="58982b3a"/>
    <w:next w:val="ac"/>
    <w:uiPriority w:val="39"/>
    <w:rsid w:val="005E3442"/>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xmlns:w16cex="http://schemas.microsoft.com/office/word/2018/wordml/cex"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table" w:styleId="efa56382">
    <w:name w:val="Table Gridefa56382"/>
    <w:basedOn w:val="58982b3a"/>
    <w:uiPriority w:val="39"/>
    <w:rsid w:val="005E3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xmlns:w16cex="http://schemas.microsoft.com/office/word/2018/wordml/cex" xmlns:w15="http://schemas.microsoft.com/office/word/2012/wordml" xmlns:w16se="http://schemas.microsoft.com/office/word/2015/wordml/symex" xmlns:w16="http://schemas.microsoft.com/office/word/2018/wordml" xmlns:w16sdtdh="http://schemas.microsoft.com/office/word/2020/wordml/sdtdatahash" xmlns:w16cid="http://schemas.microsoft.com/office/word/2016/wordml/cid" w:type="paragraph" w:styleId="cf24062b">
    <w:name w:val="Revisioncf24062b"/>
    <w:hidden/>
    <w:uiPriority w:val="99"/>
    <w:semiHidden/>
    <w:rsid w:val="00ED578F"/>
    <w:rPr>
      <w:rFonts w:eastAsia="黑体"/>
    </w:rPr>
  </w:style>
  <w:style w:type="paragraph" w:styleId="e8fd2d8b">
    <w:name w:val="Normale8fd2d8b"/>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e457010c">
    <w:name w:val="Default Paragraph Fonte457010c"/>
    <w:semiHidden/>
    <w:unhideWhenUsed/>
    <w:qFormat/>
    <w:uiPriority w:val="1"/>
  </w:style>
  <w:style w:type="table" w:styleId="3470506c">
    <w:name w:val="Normal Table3470506c"/>
    <w:semiHidden/>
    <w:unhideWhenUsed/>
    <w:qFormat/>
    <w:uiPriority w:val="99"/>
    <w:tblPr>
      <w:tblCellMar>
        <w:top w:w="0" w:type="dxa"/>
        <w:left w:w="108" w:type="dxa"/>
        <w:bottom w:w="0" w:type="dxa"/>
        <w:right w:w="108" w:type="dxa"/>
      </w:tblCellMar>
    </w:tblPr>
  </w:style>
  <w:style w:type="paragraph" w:styleId="bd71c233">
    <w:name w:val="annotation textbd71c233"/>
    <w:basedOn w:val="e8fd2d8b"/>
    <w:link w:val="15"/>
    <w:qFormat/>
    <w:uiPriority w:val="99"/>
    <w:pPr>
      <w:jc w:val="left"/>
    </w:pPr>
  </w:style>
  <w:style w:type="paragraph" w:styleId="c8eb19ab">
    <w:name w:val="Balloon Textc8eb19ab"/>
    <w:basedOn w:val="e8fd2d8b"/>
    <w:link w:val="14"/>
    <w:qFormat/>
    <w:uiPriority w:val="0"/>
    <w:rPr>
      <w:sz w:val="18"/>
      <w:szCs w:val="18"/>
      <w:lang w:val="zh-CN"/>
    </w:rPr>
  </w:style>
  <w:style w:type="paragraph" w:styleId="1a58b4fc">
    <w:name w:val="footer1a58b4fc"/>
    <w:basedOn w:val="e8fd2d8b"/>
    <w:qFormat/>
    <w:uiPriority w:val="0"/>
    <w:pPr>
      <w:tabs>
        <w:tab w:val="center" w:pos="4153"/>
        <w:tab w:val="right" w:pos="8306"/>
      </w:tabs>
      <w:snapToGrid w:val="0"/>
      <w:jc w:val="left"/>
    </w:pPr>
    <w:rPr>
      <w:sz w:val="18"/>
      <w:szCs w:val="18"/>
    </w:rPr>
  </w:style>
  <w:style w:type="paragraph" w:styleId="52a11f76">
    <w:name w:val="header52a11f76"/>
    <w:basedOn w:val="e8fd2d8b"/>
    <w:link w:val="12"/>
    <w:qFormat/>
    <w:uiPriority w:val="0"/>
    <w:pPr>
      <w:pBdr>
        <w:bottom w:val="single" w:color="auto" w:sz="6" w:space="1"/>
      </w:pBdr>
      <w:tabs>
        <w:tab w:val="center" w:pos="4153"/>
        <w:tab w:val="right" w:pos="8306"/>
      </w:tabs>
      <w:snapToGrid w:val="0"/>
      <w:jc w:val="center"/>
    </w:pPr>
    <w:rPr>
      <w:sz w:val="18"/>
      <w:szCs w:val="18"/>
    </w:rPr>
  </w:style>
  <w:style w:type="paragraph" w:styleId="8d05f901">
    <w:name w:val="annotation subject8d05f901"/>
    <w:basedOn w:val="bd71c233"/>
    <w:next w:val="2"/>
    <w:link w:val="16"/>
    <w:qFormat/>
    <w:uiPriority w:val="0"/>
    <w:rPr>
      <w:b/>
      <w:bCs/>
    </w:rPr>
  </w:style>
  <w:style w:type="table" w:styleId="1936f3d8">
    <w:name w:val="Table Grid1936f3d8"/>
    <w:basedOn w:val="3470506c"/>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7202555">
    <w:name w:val="page numberc7202555"/>
    <w:basedOn w:val="e457010c"/>
    <w:qFormat/>
    <w:uiPriority w:val="0"/>
  </w:style>
  <w:style w:type="character" w:styleId="9dd46c74">
    <w:name w:val="annotation reference9dd46c74"/>
    <w:qFormat/>
    <w:uiPriority w:val="99"/>
    <w:rPr>
      <w:sz w:val="21"/>
      <w:szCs w:val="21"/>
    </w:rPr>
  </w:style>
  <w:style w:type="character" w:customStyle="1" w:styleId="a345b1fc">
    <w:name w:val="页眉 字符a345b1fc"/>
    <w:link w:val="5"/>
    <w:qFormat/>
    <w:uiPriority w:val="0"/>
    <w:rPr>
      <w:rFonts w:eastAsia="宋体"/>
      <w:kern w:val="2"/>
      <w:sz w:val="18"/>
      <w:szCs w:val="18"/>
      <w:lang w:val="en-US" w:eastAsia="zh-CN" w:bidi="ar-SA"/>
    </w:rPr>
  </w:style>
  <w:style w:type="paragraph" w:customStyle="1" w:styleId="ab26ca96">
    <w:name w:val="Char Char Char Charab26ca96"/>
    <w:basedOn w:val="e8fd2d8b"/>
    <w:qFormat/>
    <w:uiPriority w:val="0"/>
    <w:pPr>
      <w:tabs>
        <w:tab w:val="left" w:pos="360"/>
      </w:tabs>
      <w:adjustRightInd w:val="0"/>
    </w:pPr>
    <w:rPr>
      <w:sz w:val="24"/>
      <w:szCs w:val="20"/>
    </w:rPr>
  </w:style>
  <w:style w:type="character" w:customStyle="1" w:styleId="929cf22b">
    <w:name w:val="批注框文本 字符929cf22b"/>
    <w:link w:val="3"/>
    <w:qFormat/>
    <w:uiPriority w:val="0"/>
    <w:rPr>
      <w:kern w:val="2"/>
      <w:sz w:val="18"/>
      <w:szCs w:val="18"/>
    </w:rPr>
  </w:style>
  <w:style w:type="character" w:customStyle="1" w:styleId="2fa02e07">
    <w:name w:val="批注文字 字符2fa02e07"/>
    <w:link w:val="2"/>
    <w:qFormat/>
    <w:uiPriority w:val="99"/>
    <w:rPr>
      <w:kern w:val="2"/>
      <w:sz w:val="21"/>
      <w:szCs w:val="24"/>
    </w:rPr>
  </w:style>
  <w:style w:type="character" w:customStyle="1" w:styleId="b38fa577">
    <w:name w:val="批注主题 字符b38fa577"/>
    <w:link w:val="6"/>
    <w:qFormat/>
    <w:uiPriority w:val="0"/>
    <w:rPr>
      <w:b/>
      <w:bCs/>
      <w:kern w:val="2"/>
      <w:sz w:val="21"/>
      <w:szCs w:val="24"/>
    </w:rPr>
  </w:style>
  <w:style w:type="paragraph" w:customStyle="1" w:styleId="6a341507">
    <w:name w:val="标题16a341507"/>
    <w:basedOn w:val="e8fd2d8b"/>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paragraph" w:customStyle="1" w:styleId="ff0a98fa">
    <w:name w:val="修订1ff0a98fa"/>
    <w:hidden/>
    <w:semiHidden/>
    <w:qFormat/>
    <w:uiPriority w:val="99"/>
    <w:rPr>
      <w:rFonts w:ascii="Times New Roman" w:hAnsi="Times New Roman" w:eastAsia="宋体" w:cs="Times New Roman"/>
      <w:kern w:val="2"/>
      <w:sz w:val="21"/>
      <w:szCs w:val="24"/>
      <w:lang w:val="en-US" w:eastAsia="zh-CN" w:bidi="ar-SA"/>
    </w:rPr>
  </w:style>
  <w:style w:type="paragraph" w:styleId="1da221f3">
    <w:name w:val="List Paragraph1da221f3"/>
    <w:basedOn w:val="e8fd2d8b"/>
    <w:qFormat/>
    <w:uiPriority w:val="34"/>
    <w:pPr>
      <w:ind w:firstLine="420" w:firstLineChars="200"/>
    </w:pPr>
  </w:style>
  <w:style w:type="paragraph" w:customStyle="1" w:styleId="edfbbc21">
    <w:name w:val="Revisionedfbbc2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numbering.xml" Type="http://schemas.openxmlformats.org/officeDocument/2006/relationships/numbering"/><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13267</Words>
  <Characters>13940</Characters>
  <Lines>101</Lines>
  <Paragraphs>28</Paragraphs>
  <TotalTime>2</TotalTime>
  <ScaleCrop>false</ScaleCrop>
  <LinksUpToDate>false</LinksUpToDate>
  <CharactersWithSpaces>14026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2023-01-17T01:09:00Z</dcterms:created>
  <dc:creator>Lenovo</dc:creator>
  <cp:lastModifiedBy>星球的酒馆</cp:lastModifiedBy>
  <dcterms:modified xsi:type="dcterms:W3CDTF">2024-12-03T02:26:56Z</dcterms:modified>
  <cp:revision>401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EACB624C6B704C049DF0722BDED6C79A_12</vt:lpwstr>
  </property>
</Properties>
</file>