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ind w:left="1260" w:firstLine="420"/>
        <w:jc w:val="center"/>
        <w:rPr>
          <w:rFonts w:ascii="黑体" w:hAnsi="宋体" w:eastAsia="黑体"/>
          <w:b/>
          <w:bCs/>
          <w:spacing w:val="-5"/>
          <w:kern w:val="0"/>
          <w:sz w:val="36"/>
          <w:szCs w:val="36"/>
        </w:rPr>
      </w:pPr>
      <w:bookmarkStart w:id="21" w:name="_GoBack"/>
      <w:bookmarkEnd w:id="21"/>
    </w:p>
    <w:p>
      <w:pPr>
        <w:widowControl/>
        <w:spacing w:after="240"/>
        <w:jc w:val="center"/>
        <w:rPr>
          <w:rFonts w:ascii="黑体" w:hAnsi="宋体" w:eastAsia="黑体"/>
          <w:b/>
          <w:bCs/>
          <w:spacing w:val="-5"/>
          <w:kern w:val="0"/>
          <w:sz w:val="36"/>
          <w:szCs w:val="36"/>
        </w:rPr>
      </w:pPr>
    </w:p>
    <w:p>
      <w:pPr>
        <w:widowControl/>
        <w:spacing w:after="240"/>
        <w:jc w:val="center"/>
        <w:rPr>
          <w:rFonts w:ascii="黑体" w:hAnsi="宋体" w:eastAsia="黑体"/>
          <w:b/>
          <w:bCs/>
          <w:spacing w:val="-5"/>
          <w:kern w:val="0"/>
          <w:sz w:val="36"/>
          <w:szCs w:val="36"/>
        </w:rPr>
      </w:pPr>
    </w:p>
    <w:p>
      <w:pPr>
        <w:widowControl/>
        <w:spacing w:after="240"/>
        <w:jc w:val="center"/>
        <w:rPr>
          <w:rFonts w:ascii="黑体" w:hAnsi="宋体" w:eastAsia="黑体"/>
          <w:b/>
          <w:bCs/>
          <w:spacing w:val="-5"/>
          <w:kern w:val="0"/>
          <w:sz w:val="36"/>
          <w:szCs w:val="36"/>
        </w:rPr>
      </w:pPr>
      <w:r>
        <w:rPr>
          <w:rFonts w:hint="eastAsia" w:ascii="黑体" w:hAnsi="宋体" w:eastAsia="黑体"/>
          <w:b/>
          <w:bCs/>
          <w:spacing w:val="-5"/>
          <w:kern w:val="0"/>
          <w:sz w:val="36"/>
          <w:szCs w:val="36"/>
        </w:rPr>
        <w:t>理财产品销售文件</w:t>
      </w:r>
    </w:p>
    <w:p>
      <w:pPr>
        <w:widowControl/>
        <w:spacing w:after="240"/>
        <w:jc w:val="center"/>
        <w:rPr>
          <w:rFonts w:ascii="黑体" w:hAnsi="宋体" w:eastAsia="黑体"/>
          <w:b/>
          <w:bCs/>
          <w:spacing w:val="-5"/>
          <w:kern w:val="0"/>
          <w:sz w:val="36"/>
          <w:szCs w:val="36"/>
        </w:rPr>
      </w:pPr>
      <w:r>
        <w:rPr>
          <w:rFonts w:hint="eastAsia" w:ascii="黑体" w:hAnsi="宋体" w:eastAsia="黑体"/>
          <w:b/>
          <w:bCs/>
          <w:spacing w:val="-5"/>
          <w:kern w:val="0"/>
          <w:sz w:val="36"/>
          <w:szCs w:val="36"/>
        </w:rPr>
        <w:t>“</w:t>
      </w:r>
      <w:r>
        <w:rPr>
          <w:rFonts w:ascii="黑体" w:hAnsi="宋体" w:eastAsia="黑体"/>
          <w:b/>
          <w:bCs/>
          <w:spacing w:val="-5"/>
          <w:kern w:val="0"/>
          <w:sz w:val="36"/>
          <w:szCs w:val="36"/>
        </w:rPr>
        <w:t>金兰花汇富4号2535期</w:t>
      </w:r>
      <w:r>
        <w:rPr>
          <w:rFonts w:hint="eastAsia" w:ascii="黑体" w:hAnsi="宋体" w:eastAsia="黑体"/>
          <w:b/>
          <w:bCs/>
          <w:spacing w:val="-5"/>
          <w:kern w:val="0"/>
          <w:sz w:val="36"/>
          <w:szCs w:val="36"/>
        </w:rPr>
        <w:t>”</w:t>
      </w:r>
    </w:p>
    <w:p>
      <w:pPr>
        <w:widowControl/>
        <w:spacing w:after="240"/>
        <w:jc w:val="center"/>
        <w:rPr>
          <w:rFonts w:ascii="黑体" w:hAnsi="宋体" w:eastAsia="黑体"/>
          <w:b/>
          <w:bCs/>
          <w:spacing w:val="-5"/>
          <w:kern w:val="0"/>
          <w:sz w:val="36"/>
          <w:szCs w:val="36"/>
        </w:rPr>
      </w:pPr>
      <w:r>
        <w:rPr>
          <w:rFonts w:hint="eastAsia" w:ascii="黑体" w:hAnsi="宋体" w:eastAsia="黑体"/>
          <w:b/>
          <w:bCs/>
          <w:spacing w:val="-5"/>
          <w:kern w:val="0"/>
          <w:sz w:val="36"/>
          <w:szCs w:val="36"/>
        </w:rPr>
        <w:t>产品代码：</w:t>
      </w:r>
      <w:r>
        <w:rPr>
          <w:rFonts w:ascii="黑体" w:hAnsi="宋体" w:eastAsia="黑体"/>
          <w:b/>
          <w:bCs/>
          <w:spacing w:val="-5"/>
          <w:kern w:val="0"/>
          <w:sz w:val="36"/>
          <w:szCs w:val="36"/>
        </w:rPr>
        <w:t>HF042535</w:t>
      </w:r>
    </w:p>
    <w:p>
      <w:pPr>
        <w:widowControl/>
        <w:spacing w:after="240"/>
        <w:jc w:val="center"/>
        <w:rPr>
          <w:rFonts w:ascii="黑体" w:hAnsi="宋体" w:eastAsia="黑体"/>
          <w:b/>
          <w:bCs/>
          <w:spacing w:val="-5"/>
          <w:kern w:val="0"/>
          <w:sz w:val="36"/>
          <w:szCs w:val="36"/>
          <w:highlight w:val="green"/>
        </w:rPr>
      </w:pPr>
      <w:r>
        <w:rPr>
          <w:rFonts w:hint="eastAsia" w:ascii="黑体" w:hAnsi="宋体" w:eastAsia="黑体"/>
          <w:b/>
          <w:bCs/>
          <w:spacing w:val="-5"/>
          <w:kern w:val="0"/>
          <w:sz w:val="36"/>
          <w:szCs w:val="36"/>
        </w:rPr>
        <w:t>产品登记编码：</w:t>
      </w:r>
      <w:r>
        <w:rPr>
          <w:rFonts w:ascii="黑体" w:hAnsi="宋体" w:eastAsia="黑体"/>
          <w:b/>
          <w:bCs/>
          <w:spacing w:val="-5"/>
          <w:kern w:val="0"/>
          <w:sz w:val="36"/>
          <w:szCs w:val="36"/>
        </w:rPr>
        <w:t>C1092525000092</w:t>
      </w:r>
    </w:p>
    <w:p>
      <w:pPr>
        <w:widowControl/>
        <w:spacing w:after="240"/>
        <w:jc w:val="center"/>
        <w:rPr>
          <w:rFonts w:ascii="黑体" w:hAnsi="宋体" w:eastAsia="黑体"/>
          <w:b/>
          <w:bCs/>
          <w:spacing w:val="-5"/>
          <w:kern w:val="0"/>
          <w:sz w:val="36"/>
          <w:szCs w:val="36"/>
        </w:rPr>
      </w:pPr>
      <w:r>
        <w:rPr>
          <w:rFonts w:hint="eastAsia" w:ascii="黑体" w:hAnsi="宋体" w:eastAsia="黑体"/>
          <w:b/>
          <w:bCs/>
          <w:spacing w:val="-5"/>
          <w:kern w:val="0"/>
          <w:sz w:val="36"/>
          <w:szCs w:val="36"/>
        </w:rPr>
        <w:t>（客户可依据该登记编码在中国理财网（www.chinawealth.com.cn)上查询本产品信息）</w:t>
      </w:r>
    </w:p>
    <w:p>
      <w:pPr>
        <w:pStyle w:val="2"/>
        <w:numPr>
          <w:ilvl w:val="0"/>
          <w:numId w:val="0"/>
        </w:numPr>
        <w:spacing w:before="312" w:beforeLines="100" w:after="312" w:afterLines="100" w:line="440" w:lineRule="exact"/>
        <w:ind w:left="170"/>
        <w:jc w:val="center"/>
        <w:rPr>
          <w:rFonts w:ascii="黑体" w:hAnsi="宋体" w:eastAsia="黑体"/>
          <w:color w:val="000000"/>
          <w:sz w:val="24"/>
          <w:szCs w:val="24"/>
          <w:lang w:eastAsia="zh-CN"/>
        </w:rPr>
      </w:pPr>
    </w:p>
    <w:p>
      <w:pPr>
        <w:rPr>
          <w:rFonts w:ascii="黑体" w:hAnsi="宋体" w:eastAsia="黑体"/>
          <w:color w:val="000000"/>
          <w:sz w:val="24"/>
          <w:szCs w:val="24"/>
        </w:rPr>
      </w:pPr>
    </w:p>
    <w:p>
      <w:pPr>
        <w:rPr>
          <w:rFonts w:ascii="黑体" w:hAnsi="宋体" w:eastAsia="黑体"/>
          <w:color w:val="000000"/>
          <w:sz w:val="24"/>
          <w:szCs w:val="24"/>
        </w:rPr>
      </w:pPr>
    </w:p>
    <w:p>
      <w:pPr>
        <w:rPr>
          <w:rFonts w:ascii="黑体" w:hAnsi="宋体" w:eastAsia="黑体"/>
          <w:color w:val="000000"/>
          <w:sz w:val="24"/>
          <w:szCs w:val="24"/>
        </w:rPr>
      </w:pPr>
    </w:p>
    <w:p>
      <w:pPr>
        <w:rPr>
          <w:rFonts w:ascii="黑体" w:hAnsi="宋体" w:eastAsia="黑体"/>
          <w:color w:val="000000"/>
          <w:sz w:val="24"/>
          <w:szCs w:val="24"/>
        </w:rPr>
      </w:pPr>
    </w:p>
    <w:p>
      <w:pPr>
        <w:rPr>
          <w:rFonts w:ascii="黑体" w:hAnsi="宋体" w:eastAsia="黑体"/>
          <w:color w:val="000000"/>
          <w:sz w:val="24"/>
          <w:szCs w:val="24"/>
        </w:rPr>
      </w:pPr>
    </w:p>
    <w:p>
      <w:pPr>
        <w:rPr>
          <w:rFonts w:ascii="黑体" w:hAnsi="宋体" w:eastAsia="黑体"/>
          <w:color w:val="000000"/>
          <w:sz w:val="24"/>
          <w:szCs w:val="24"/>
        </w:rPr>
      </w:pPr>
    </w:p>
    <w:p>
      <w:pPr>
        <w:rPr>
          <w:rFonts w:ascii="黑体" w:hAnsi="宋体" w:eastAsia="黑体"/>
          <w:color w:val="000000"/>
          <w:sz w:val="24"/>
          <w:szCs w:val="24"/>
        </w:rPr>
      </w:pPr>
    </w:p>
    <w:p>
      <w:pPr>
        <w:rPr>
          <w:rFonts w:ascii="黑体" w:hAnsi="宋体" w:eastAsia="黑体"/>
          <w:color w:val="000000"/>
          <w:sz w:val="24"/>
          <w:szCs w:val="24"/>
        </w:rPr>
      </w:pPr>
    </w:p>
    <w:p>
      <w:pPr>
        <w:rPr>
          <w:rFonts w:ascii="黑体" w:hAnsi="宋体" w:eastAsia="黑体"/>
          <w:color w:val="000000"/>
          <w:sz w:val="24"/>
          <w:szCs w:val="24"/>
        </w:rPr>
      </w:pPr>
    </w:p>
    <w:p>
      <w:pPr>
        <w:rPr>
          <w:rFonts w:ascii="黑体" w:hAnsi="宋体" w:eastAsia="黑体"/>
          <w:color w:val="000000"/>
          <w:sz w:val="24"/>
          <w:szCs w:val="24"/>
        </w:rPr>
      </w:pPr>
    </w:p>
    <w:p>
      <w:pPr>
        <w:widowControl/>
        <w:spacing w:after="240"/>
        <w:rPr>
          <w:rFonts w:ascii="黑体" w:hAnsi="宋体" w:eastAsia="黑体"/>
          <w:b/>
          <w:bCs/>
          <w:spacing w:val="-5"/>
          <w:kern w:val="0"/>
          <w:sz w:val="36"/>
          <w:szCs w:val="36"/>
        </w:rPr>
      </w:pPr>
    </w:p>
    <w:p>
      <w:pPr>
        <w:tabs>
          <w:tab w:val="left" w:pos="0"/>
        </w:tabs>
        <w:ind w:firstLine="4624" w:firstLineChars="1927"/>
        <w:rPr>
          <w:rFonts w:ascii="宋体" w:hAnsi="宋体"/>
          <w:sz w:val="24"/>
          <w:szCs w:val="24"/>
        </w:rPr>
      </w:pPr>
      <w:r>
        <w:rPr>
          <w:rFonts w:hint="eastAsia" w:ascii="宋体" w:hAnsi="宋体"/>
          <w:sz w:val="24"/>
          <w:szCs w:val="24"/>
        </w:rPr>
        <w:t>编制单位：</w:t>
      </w:r>
      <w:r>
        <w:rPr>
          <w:rFonts w:hint="eastAsia" w:ascii="宋体" w:hAnsi="宋体"/>
          <w:sz w:val="24"/>
          <w:szCs w:val="24"/>
          <w:u w:val="single"/>
        </w:rPr>
        <w:t xml:space="preserve"> 绍兴银行股份有限公司  </w:t>
      </w:r>
    </w:p>
    <w:p>
      <w:pPr>
        <w:tabs>
          <w:tab w:val="left" w:pos="0"/>
        </w:tabs>
        <w:ind w:firstLine="2944" w:firstLineChars="1227"/>
        <w:rPr>
          <w:rFonts w:ascii="宋体" w:hAnsi="宋体"/>
          <w:sz w:val="24"/>
          <w:szCs w:val="24"/>
        </w:rPr>
      </w:pPr>
      <w:r>
        <w:rPr>
          <w:rFonts w:hint="eastAsia" w:ascii="宋体" w:hAnsi="宋体"/>
          <w:sz w:val="24"/>
          <w:szCs w:val="24"/>
        </w:rPr>
        <w:t xml:space="preserve">              版 次 号：</w:t>
      </w:r>
      <w:r>
        <w:rPr>
          <w:rFonts w:hint="eastAsia" w:ascii="宋体" w:hAnsi="宋体"/>
          <w:sz w:val="24"/>
          <w:szCs w:val="24"/>
          <w:u w:val="single"/>
        </w:rPr>
        <w:t xml:space="preserve">     2019年第1版      </w:t>
      </w:r>
    </w:p>
    <w:p>
      <w:pPr>
        <w:tabs>
          <w:tab w:val="left" w:pos="0"/>
        </w:tabs>
        <w:ind w:firstLine="2944" w:firstLineChars="1227"/>
        <w:rPr>
          <w:rFonts w:ascii="宋体" w:hAnsi="宋体"/>
          <w:sz w:val="24"/>
          <w:szCs w:val="24"/>
        </w:rPr>
      </w:pPr>
      <w:r>
        <w:rPr>
          <w:rFonts w:hint="eastAsia" w:ascii="宋体" w:hAnsi="宋体"/>
          <w:sz w:val="24"/>
          <w:szCs w:val="24"/>
        </w:rPr>
        <w:t xml:space="preserve">              生效日期：</w:t>
      </w:r>
      <w:r>
        <w:rPr>
          <w:rFonts w:hint="eastAsia" w:ascii="宋体" w:hAnsi="宋体"/>
          <w:sz w:val="24"/>
          <w:szCs w:val="24"/>
          <w:u w:val="single"/>
        </w:rPr>
        <w:t xml:space="preserve">   2019年11月18日   </w:t>
      </w:r>
    </w:p>
    <w:p>
      <w:pPr>
        <w:rPr>
          <w:rFonts w:ascii="黑体" w:hAnsi="宋体" w:eastAsia="黑体"/>
          <w:color w:val="000000"/>
          <w:sz w:val="24"/>
          <w:szCs w:val="24"/>
        </w:rPr>
        <w:sectPr>
          <w:pgSz w:w="11906" w:h="16838"/>
          <w:pgMar w:top="1440" w:right="1800" w:bottom="1440" w:left="1800" w:header="851" w:footer="992" w:gutter="0"/>
          <w:cols w:space="720" w:num="1"/>
          <w:docGrid w:type="lines" w:linePitch="312" w:charSpace="0"/>
        </w:sectPr>
      </w:pPr>
    </w:p>
    <w:p>
      <w:pPr>
        <w:pStyle w:val="2"/>
        <w:numPr>
          <w:ilvl w:val="0"/>
          <w:numId w:val="0"/>
        </w:numPr>
        <w:spacing w:before="312" w:beforeLines="100" w:after="312" w:afterLines="100" w:line="240" w:lineRule="auto"/>
        <w:ind w:left="170"/>
        <w:jc w:val="center"/>
        <w:rPr>
          <w:rFonts w:ascii="黑体" w:hAnsi="宋体" w:eastAsia="黑体"/>
          <w:color w:val="000000"/>
          <w:sz w:val="24"/>
          <w:szCs w:val="24"/>
          <w:lang w:eastAsia="zh-CN"/>
        </w:rPr>
      </w:pPr>
      <w:r>
        <w:rPr>
          <w:rFonts w:hint="eastAsia" w:ascii="黑体" w:hAnsi="宋体" w:eastAsia="黑体"/>
          <w:color w:val="000000"/>
          <w:sz w:val="24"/>
          <w:szCs w:val="24"/>
          <w:lang w:eastAsia="zh-CN"/>
        </w:rPr>
        <w:t>投资者权益须知</w:t>
      </w:r>
    </w:p>
    <w:p>
      <w:pPr>
        <w:pStyle w:val="11"/>
        <w:spacing w:beforeAutospacing="0" w:afterAutospacing="0" w:line="280" w:lineRule="exact"/>
        <w:rPr>
          <w:spacing w:val="10"/>
          <w:kern w:val="2"/>
          <w:sz w:val="21"/>
        </w:rPr>
      </w:pPr>
      <w:r>
        <w:rPr>
          <w:rFonts w:hint="eastAsia"/>
          <w:spacing w:val="10"/>
          <w:kern w:val="2"/>
          <w:sz w:val="21"/>
        </w:rPr>
        <w:t>尊敬的投资者：</w:t>
      </w:r>
    </w:p>
    <w:p>
      <w:pPr>
        <w:pStyle w:val="11"/>
        <w:spacing w:beforeAutospacing="0" w:afterAutospacing="0" w:line="280" w:lineRule="exact"/>
        <w:ind w:firstLine="460" w:firstLineChars="200"/>
        <w:rPr>
          <w:spacing w:val="10"/>
          <w:kern w:val="2"/>
          <w:sz w:val="21"/>
          <w:szCs w:val="21"/>
        </w:rPr>
      </w:pPr>
      <w:r>
        <w:rPr>
          <w:rFonts w:hint="eastAsia"/>
          <w:spacing w:val="10"/>
          <w:kern w:val="2"/>
          <w:sz w:val="21"/>
          <w:szCs w:val="21"/>
        </w:rPr>
        <w:t>感谢您购买绍兴银行（“本行”）理财产品。为了保护您的合法权益，请在投资理财产品前认真阅读以下内容：</w:t>
      </w:r>
    </w:p>
    <w:p>
      <w:pPr>
        <w:numPr>
          <w:ilvl w:val="0"/>
          <w:numId w:val="2"/>
        </w:numPr>
        <w:tabs>
          <w:tab w:val="left" w:pos="420"/>
        </w:tabs>
        <w:ind w:firstLineChars="200"/>
      </w:pPr>
      <w:r>
        <w:rPr>
          <w:rFonts w:hint="eastAsia"/>
        </w:rPr>
        <w:t>理财产品购买流程</w:t>
      </w:r>
    </w:p>
    <w:p>
      <w:pPr>
        <w:widowControl/>
        <w:numPr>
          <w:ilvl w:val="0"/>
          <w:numId w:val="3"/>
        </w:numPr>
        <w:jc w:val="left"/>
        <w:rPr>
          <w:rFonts w:ascii="宋体" w:hAnsi="宋体"/>
          <w:spacing w:val="10"/>
        </w:rPr>
      </w:pPr>
      <w:r>
        <w:rPr>
          <w:rFonts w:hint="eastAsia" w:ascii="宋体" w:hAnsi="宋体"/>
          <w:spacing w:val="10"/>
        </w:rPr>
        <w:t>开立或持有本行账户，该账户用于本产品的理财资金划转及兑付，您应确保持有本产品期间所指定账户不做销户。</w:t>
      </w:r>
    </w:p>
    <w:p>
      <w:pPr>
        <w:widowControl/>
        <w:numPr>
          <w:ilvl w:val="0"/>
          <w:numId w:val="3"/>
        </w:numPr>
        <w:jc w:val="left"/>
        <w:rPr>
          <w:rFonts w:ascii="宋体" w:hAnsi="宋体"/>
          <w:spacing w:val="10"/>
        </w:rPr>
      </w:pPr>
      <w:r>
        <w:rPr>
          <w:rFonts w:hint="eastAsia" w:ascii="宋体" w:hAnsi="宋体"/>
          <w:spacing w:val="10"/>
        </w:rPr>
        <w:t>风险属性测试。您应接受并完成本行对您的风险承受能力评估，并根据风险评估结果选择适合的产品。</w:t>
      </w:r>
    </w:p>
    <w:p>
      <w:pPr>
        <w:widowControl/>
        <w:numPr>
          <w:ilvl w:val="0"/>
          <w:numId w:val="3"/>
        </w:numPr>
        <w:jc w:val="left"/>
        <w:rPr>
          <w:rFonts w:ascii="宋体" w:hAnsi="宋体"/>
          <w:spacing w:val="10"/>
        </w:rPr>
      </w:pPr>
      <w:r>
        <w:rPr>
          <w:rFonts w:hint="eastAsia" w:ascii="宋体" w:hAnsi="宋体"/>
          <w:spacing w:val="10"/>
        </w:rPr>
        <w:t>仔细阅读理财产品销售文件。请仔细阅读拟购买理财产品销售文件，理财产品销售文件（以下简称“销售文件”）包括但不限于：产品协议书、产品说明书、风险揭示书、投资者权益须知等。</w:t>
      </w:r>
    </w:p>
    <w:p>
      <w:pPr>
        <w:widowControl/>
        <w:numPr>
          <w:ilvl w:val="0"/>
          <w:numId w:val="3"/>
        </w:numPr>
        <w:jc w:val="left"/>
        <w:rPr>
          <w:rFonts w:ascii="宋体" w:hAnsi="宋体"/>
          <w:spacing w:val="10"/>
        </w:rPr>
      </w:pPr>
      <w:r>
        <w:rPr>
          <w:rFonts w:hint="eastAsia" w:ascii="宋体" w:hAnsi="宋体"/>
          <w:spacing w:val="10"/>
        </w:rPr>
        <w:t>办理购买手续。在确认已同意理财产品销售文件相关内容、充分了解投资风险并无疑问和异议后，签署相关销售文件，并办理购买手续。您可通过本行营业网点或电子银行（包括但不限于网上银行和手机银行）办理理财产品的购买手续。对于具体理财产品，本行将根据产品风险等级和市场情况自行确定发售渠道。</w:t>
      </w:r>
    </w:p>
    <w:p>
      <w:pPr>
        <w:numPr>
          <w:ilvl w:val="0"/>
          <w:numId w:val="4"/>
        </w:numPr>
        <w:tabs>
          <w:tab w:val="left" w:pos="420"/>
        </w:tabs>
        <w:ind w:firstLineChars="200"/>
      </w:pPr>
      <w:r>
        <w:rPr>
          <w:rFonts w:hint="eastAsia"/>
        </w:rPr>
        <w:t>投资者风险承受能力评估</w:t>
      </w:r>
    </w:p>
    <w:p>
      <w:pPr>
        <w:widowControl/>
        <w:numPr>
          <w:ilvl w:val="0"/>
          <w:numId w:val="5"/>
        </w:numPr>
        <w:ind w:firstLine="420" w:firstLineChars="200"/>
        <w:jc w:val="left"/>
        <w:rPr>
          <w:rFonts w:ascii="宋体" w:hAnsi="宋体"/>
          <w:spacing w:val="10"/>
        </w:rPr>
      </w:pPr>
      <w:r>
        <w:rPr>
          <w:rFonts w:hint="eastAsia"/>
        </w:rPr>
        <w:t>您在购买理财产品前应进行风险承受能力评估，本行提供统一的客户风险承受能力评估书供投资者进行评估。根据投资者风险承受能力，本行对投资者风险承受能力评估的评级由低到高包括五级，分别为C1（保守型）、C2（稳健型）、C3（平衡型）、C4（成长型）、C5（进取型）。银行完成投资者风险评估后应当将评级结果告知投资者，由投资者签名确认后留存。</w:t>
      </w:r>
    </w:p>
    <w:p>
      <w:pPr>
        <w:widowControl/>
        <w:numPr>
          <w:ilvl w:val="0"/>
          <w:numId w:val="6"/>
        </w:numPr>
        <w:jc w:val="left"/>
      </w:pPr>
      <w:r>
        <w:rPr>
          <w:rFonts w:hint="eastAsia"/>
        </w:rPr>
        <w:t>银行对65岁以上（含）的投资者进行风险评估时，充分考虑到投资者年龄、相关投资经验等因素，其风险承受能力上限限定为：C3（平衡型）。</w:t>
      </w:r>
    </w:p>
    <w:p>
      <w:pPr>
        <w:widowControl/>
        <w:numPr>
          <w:ilvl w:val="0"/>
          <w:numId w:val="6"/>
        </w:numPr>
        <w:jc w:val="left"/>
        <w:rPr>
          <w:rFonts w:ascii="宋体" w:hAnsi="宋体"/>
          <w:spacing w:val="10"/>
        </w:rPr>
      </w:pPr>
      <w:r>
        <w:rPr>
          <w:rFonts w:hint="eastAsia" w:ascii="宋体" w:hAnsi="宋体"/>
        </w:rPr>
        <w:t>投资者超过一年未进行风险评估或发生可能影响自身风险承受能力情况的，再次购买理财产品时，应当在银行网点或电子银行完成风险承受能力持续评估，评估结果应当由投资者签名确认。</w:t>
      </w:r>
      <w:r>
        <w:rPr>
          <w:rFonts w:hint="eastAsia" w:ascii="宋体" w:hAnsi="宋体"/>
          <w:b/>
          <w:u w:val="single"/>
        </w:rPr>
        <w:t>未进行持续评估的投资者不能再次购买绍兴银行理财产品。</w:t>
      </w:r>
    </w:p>
    <w:p>
      <w:pPr>
        <w:widowControl/>
        <w:ind w:firstLine="422" w:firstLineChars="200"/>
        <w:jc w:val="left"/>
        <w:rPr>
          <w:rFonts w:ascii="宋体" w:hAnsi="宋体"/>
          <w:b/>
        </w:rPr>
      </w:pPr>
      <w:r>
        <w:rPr>
          <w:rFonts w:hint="eastAsia" w:ascii="宋体" w:hAnsi="宋体"/>
          <w:b/>
        </w:rPr>
        <w:t>特别提示：如投资者发生可能影响其自身风险承受能力的情况，再次购买理财产品时应当主动要求绍兴银行对其进行风险承受能力评估。</w:t>
      </w:r>
    </w:p>
    <w:p>
      <w:pPr>
        <w:ind w:firstLine="420" w:firstLineChars="200"/>
        <w:rPr>
          <w:rFonts w:ascii="宋体" w:hAnsi="宋体"/>
          <w:bCs/>
        </w:rPr>
      </w:pPr>
      <w:r>
        <w:rPr>
          <w:rFonts w:hint="eastAsia" w:ascii="宋体" w:hAnsi="宋体"/>
          <w:bCs/>
          <w:szCs w:val="21"/>
        </w:rPr>
        <w:t>风险承受能力评级越高，适合购买的理财产品类型越丰富，客户风险承受能力风险评级类型与适合购买的理财产品的对应关系为</w:t>
      </w:r>
      <w:r>
        <w:rPr>
          <w:rFonts w:hint="eastAsia" w:ascii="宋体" w:hAnsi="宋体"/>
          <w:bCs/>
        </w:rPr>
        <w:t>：</w:t>
      </w:r>
    </w:p>
    <w:tbl>
      <w:tblPr>
        <w:tblStyle w:val="13"/>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9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widowControl/>
              <w:jc w:val="center"/>
              <w:rPr>
                <w:color w:val="000000"/>
              </w:rPr>
            </w:pPr>
            <w:r>
              <w:rPr>
                <w:rFonts w:hint="eastAsia"/>
                <w:color w:val="000000"/>
              </w:rPr>
              <w:t>产品风险评级</w:t>
            </w:r>
          </w:p>
        </w:tc>
        <w:tc>
          <w:tcPr>
            <w:tcW w:w="7796" w:type="dxa"/>
            <w:vAlign w:val="center"/>
          </w:tcPr>
          <w:p>
            <w:pPr>
              <w:widowControl/>
              <w:ind w:firstLine="420" w:firstLineChars="200"/>
              <w:jc w:val="center"/>
              <w:rPr>
                <w:color w:val="000000"/>
              </w:rPr>
            </w:pPr>
            <w:r>
              <w:rPr>
                <w:rFonts w:hint="eastAsia"/>
                <w:color w:val="000000"/>
              </w:rPr>
              <w:t>评级说明</w:t>
            </w:r>
          </w:p>
        </w:tc>
        <w:tc>
          <w:tcPr>
            <w:tcW w:w="1416" w:type="dxa"/>
            <w:vAlign w:val="center"/>
          </w:tcPr>
          <w:p>
            <w:pPr>
              <w:widowControl/>
              <w:jc w:val="center"/>
              <w:rPr>
                <w:color w:val="000000"/>
              </w:rPr>
            </w:pPr>
            <w:r>
              <w:rPr>
                <w:rFonts w:hint="eastAsia"/>
                <w:color w:val="000000"/>
              </w:rPr>
              <w:t>客户对象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widowControl/>
              <w:jc w:val="center"/>
              <w:rPr>
                <w:color w:val="000000"/>
              </w:rPr>
            </w:pPr>
            <w:r>
              <w:rPr>
                <w:rFonts w:hint="eastAsia"/>
                <w:color w:val="000000"/>
              </w:rPr>
              <w:t>R1</w:t>
            </w:r>
          </w:p>
        </w:tc>
        <w:tc>
          <w:tcPr>
            <w:tcW w:w="7796" w:type="dxa"/>
            <w:vAlign w:val="center"/>
          </w:tcPr>
          <w:p>
            <w:pPr>
              <w:widowControl/>
              <w:jc w:val="left"/>
              <w:rPr>
                <w:color w:val="000000"/>
              </w:rPr>
            </w:pPr>
            <w:r>
              <w:rPr>
                <w:rFonts w:hint="eastAsia"/>
                <w:color w:val="000000"/>
              </w:rPr>
              <w:t>产品本金安全性较高，实现产品收益的可能性较高；或者产品不保障本金，但受风险因素影响较小，且具有很高流动性。</w:t>
            </w:r>
          </w:p>
        </w:tc>
        <w:tc>
          <w:tcPr>
            <w:tcW w:w="1416" w:type="dxa"/>
            <w:vAlign w:val="center"/>
          </w:tcPr>
          <w:p>
            <w:pPr>
              <w:widowControl/>
              <w:jc w:val="center"/>
              <w:rPr>
                <w:color w:val="000000"/>
              </w:rPr>
            </w:pPr>
            <w:r>
              <w:rPr>
                <w:rFonts w:hint="eastAsia"/>
                <w:color w:val="000000"/>
              </w:rPr>
              <w:t>C1及以上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widowControl/>
              <w:jc w:val="center"/>
              <w:rPr>
                <w:color w:val="000000"/>
              </w:rPr>
            </w:pPr>
            <w:r>
              <w:rPr>
                <w:rFonts w:hint="eastAsia"/>
                <w:color w:val="000000"/>
              </w:rPr>
              <w:t>R2</w:t>
            </w:r>
          </w:p>
        </w:tc>
        <w:tc>
          <w:tcPr>
            <w:tcW w:w="7796" w:type="dxa"/>
            <w:vAlign w:val="center"/>
          </w:tcPr>
          <w:p>
            <w:pPr>
              <w:widowControl/>
              <w:jc w:val="left"/>
              <w:rPr>
                <w:color w:val="000000"/>
              </w:rPr>
            </w:pPr>
            <w:r>
              <w:rPr>
                <w:rFonts w:hint="eastAsia"/>
                <w:color w:val="000000"/>
              </w:rPr>
              <w:t>产品不保证本金的偿付，但本金风险相对较小，过往业绩及净值的历史波动率低。</w:t>
            </w:r>
          </w:p>
        </w:tc>
        <w:tc>
          <w:tcPr>
            <w:tcW w:w="1416" w:type="dxa"/>
            <w:vAlign w:val="center"/>
          </w:tcPr>
          <w:p>
            <w:pPr>
              <w:widowControl/>
              <w:jc w:val="center"/>
              <w:rPr>
                <w:color w:val="000000"/>
              </w:rPr>
            </w:pPr>
            <w:r>
              <w:rPr>
                <w:rFonts w:hint="eastAsia"/>
                <w:color w:val="000000"/>
              </w:rPr>
              <w:t>C2及以上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widowControl/>
              <w:jc w:val="center"/>
              <w:rPr>
                <w:color w:val="000000"/>
              </w:rPr>
            </w:pPr>
            <w:r>
              <w:rPr>
                <w:rFonts w:hint="eastAsia"/>
                <w:color w:val="000000"/>
              </w:rPr>
              <w:t>R3</w:t>
            </w:r>
          </w:p>
        </w:tc>
        <w:tc>
          <w:tcPr>
            <w:tcW w:w="7796" w:type="dxa"/>
            <w:vAlign w:val="center"/>
          </w:tcPr>
          <w:p>
            <w:pPr>
              <w:widowControl/>
              <w:jc w:val="left"/>
              <w:rPr>
                <w:color w:val="000000"/>
              </w:rPr>
            </w:pPr>
            <w:r>
              <w:rPr>
                <w:rFonts w:hint="eastAsia"/>
                <w:color w:val="000000"/>
              </w:rPr>
              <w:t>产品不保证本金的偿付，有一定的本金风险，过往业绩及净值的历史波动率较低。</w:t>
            </w:r>
          </w:p>
        </w:tc>
        <w:tc>
          <w:tcPr>
            <w:tcW w:w="1416" w:type="dxa"/>
            <w:vAlign w:val="center"/>
          </w:tcPr>
          <w:p>
            <w:pPr>
              <w:widowControl/>
              <w:jc w:val="center"/>
              <w:rPr>
                <w:color w:val="000000"/>
              </w:rPr>
            </w:pPr>
            <w:r>
              <w:rPr>
                <w:rFonts w:hint="eastAsia"/>
                <w:color w:val="000000"/>
              </w:rPr>
              <w:t>C3及以上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widowControl/>
              <w:jc w:val="center"/>
              <w:rPr>
                <w:color w:val="000000"/>
              </w:rPr>
            </w:pPr>
            <w:r>
              <w:rPr>
                <w:rFonts w:hint="eastAsia"/>
                <w:color w:val="000000"/>
              </w:rPr>
              <w:t>R4</w:t>
            </w:r>
          </w:p>
        </w:tc>
        <w:tc>
          <w:tcPr>
            <w:tcW w:w="7796" w:type="dxa"/>
            <w:vAlign w:val="center"/>
          </w:tcPr>
          <w:p>
            <w:pPr>
              <w:widowControl/>
              <w:jc w:val="left"/>
              <w:rPr>
                <w:color w:val="000000"/>
              </w:rPr>
            </w:pPr>
            <w:r>
              <w:rPr>
                <w:rFonts w:hint="eastAsia"/>
                <w:color w:val="000000"/>
              </w:rPr>
              <w:t>产品不保证本金的偿付，本金风险较大，过往业绩及净值的历史波动率较高。</w:t>
            </w:r>
          </w:p>
        </w:tc>
        <w:tc>
          <w:tcPr>
            <w:tcW w:w="1416" w:type="dxa"/>
            <w:vAlign w:val="center"/>
          </w:tcPr>
          <w:p>
            <w:pPr>
              <w:widowControl/>
              <w:jc w:val="center"/>
              <w:rPr>
                <w:color w:val="000000"/>
              </w:rPr>
            </w:pPr>
            <w:r>
              <w:rPr>
                <w:rFonts w:hint="eastAsia"/>
                <w:color w:val="000000"/>
              </w:rPr>
              <w:t>C4及以上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60" w:type="dxa"/>
            <w:vAlign w:val="center"/>
          </w:tcPr>
          <w:p>
            <w:pPr>
              <w:widowControl/>
              <w:jc w:val="center"/>
              <w:rPr>
                <w:color w:val="000000"/>
              </w:rPr>
            </w:pPr>
            <w:r>
              <w:rPr>
                <w:rFonts w:hint="eastAsia"/>
                <w:color w:val="000000"/>
              </w:rPr>
              <w:t>R5</w:t>
            </w:r>
          </w:p>
        </w:tc>
        <w:tc>
          <w:tcPr>
            <w:tcW w:w="7796" w:type="dxa"/>
            <w:vAlign w:val="center"/>
          </w:tcPr>
          <w:p>
            <w:pPr>
              <w:widowControl/>
              <w:jc w:val="left"/>
              <w:rPr>
                <w:color w:val="000000"/>
              </w:rPr>
            </w:pPr>
            <w:r>
              <w:rPr>
                <w:rFonts w:hint="eastAsia"/>
                <w:color w:val="000000"/>
              </w:rPr>
              <w:t>产品不保证本金的偿付，本金风险极大，过往业绩及净值的历史波动率很高。</w:t>
            </w:r>
          </w:p>
        </w:tc>
        <w:tc>
          <w:tcPr>
            <w:tcW w:w="1416" w:type="dxa"/>
            <w:vAlign w:val="center"/>
          </w:tcPr>
          <w:p>
            <w:pPr>
              <w:widowControl/>
              <w:jc w:val="center"/>
              <w:rPr>
                <w:color w:val="000000"/>
              </w:rPr>
            </w:pPr>
            <w:r>
              <w:rPr>
                <w:rFonts w:hint="eastAsia"/>
                <w:color w:val="000000"/>
              </w:rPr>
              <w:t>C5及以上</w:t>
            </w:r>
          </w:p>
        </w:tc>
      </w:tr>
    </w:tbl>
    <w:p>
      <w:pPr>
        <w:numPr>
          <w:ilvl w:val="0"/>
          <w:numId w:val="4"/>
        </w:numPr>
        <w:tabs>
          <w:tab w:val="left" w:pos="420"/>
          <w:tab w:val="left" w:pos="1520"/>
        </w:tabs>
        <w:ind w:firstLineChars="200"/>
        <w:rPr>
          <w:color w:val="000000"/>
        </w:rPr>
      </w:pPr>
      <w:r>
        <w:rPr>
          <w:rFonts w:hint="eastAsia"/>
          <w:color w:val="000000"/>
        </w:rPr>
        <w:t>信息披露</w:t>
      </w:r>
    </w:p>
    <w:p>
      <w:pPr>
        <w:ind w:firstLine="420" w:firstLineChars="200"/>
        <w:rPr>
          <w:color w:val="000000"/>
        </w:rPr>
      </w:pPr>
      <w:r>
        <w:rPr>
          <w:rFonts w:hint="eastAsia"/>
          <w:color w:val="000000"/>
        </w:rPr>
        <w:t>理财产品的信息披露将通过绍兴银行官网或各营业网点等渠道进行，具体方式、渠道、内容和频率以《产品说明书》中“信息披露”约定为准。</w:t>
      </w:r>
    </w:p>
    <w:p>
      <w:pPr>
        <w:numPr>
          <w:ilvl w:val="0"/>
          <w:numId w:val="4"/>
        </w:numPr>
        <w:tabs>
          <w:tab w:val="left" w:pos="420"/>
          <w:tab w:val="left" w:pos="1520"/>
        </w:tabs>
        <w:ind w:firstLineChars="200"/>
        <w:rPr>
          <w:color w:val="000000"/>
        </w:rPr>
      </w:pPr>
      <w:r>
        <w:rPr>
          <w:rFonts w:hint="eastAsia"/>
          <w:color w:val="000000"/>
        </w:rPr>
        <w:t>投诉及建议</w:t>
      </w:r>
    </w:p>
    <w:p>
      <w:pPr>
        <w:tabs>
          <w:tab w:val="left" w:pos="420"/>
          <w:tab w:val="left" w:pos="1520"/>
        </w:tabs>
        <w:ind w:firstLine="420" w:firstLineChars="200"/>
        <w:rPr>
          <w:color w:val="000000"/>
        </w:rPr>
      </w:pPr>
      <w:r>
        <w:rPr>
          <w:rFonts w:hint="eastAsia"/>
          <w:color w:val="000000"/>
        </w:rPr>
        <w:t>若投资者对理财产品有任何投诉或建议，请致电绍兴银行客户服务热线“96528”或反馈至购买本期产品的营业网点，绍兴银行将对投资者所反映的情况和建议作及时的处理和反馈。</w:t>
      </w:r>
    </w:p>
    <w:p>
      <w:pPr>
        <w:rPr>
          <w:color w:val="000000"/>
        </w:rPr>
      </w:pPr>
    </w:p>
    <w:p>
      <w:pPr>
        <w:rPr>
          <w:color w:val="000000"/>
        </w:rPr>
      </w:pPr>
    </w:p>
    <w:p>
      <w:pPr>
        <w:pStyle w:val="2"/>
        <w:numPr>
          <w:ilvl w:val="0"/>
          <w:numId w:val="0"/>
        </w:numPr>
        <w:spacing w:before="312" w:beforeLines="100" w:after="312" w:afterLines="100" w:line="240" w:lineRule="exact"/>
        <w:jc w:val="both"/>
        <w:rPr>
          <w:rFonts w:ascii="黑体" w:hAnsi="宋体" w:eastAsia="黑体"/>
          <w:color w:val="000000"/>
          <w:sz w:val="24"/>
          <w:szCs w:val="24"/>
          <w:lang w:eastAsia="zh-CN"/>
        </w:rPr>
        <w:sectPr>
          <w:pgSz w:w="11906" w:h="16838"/>
          <w:pgMar w:top="1440" w:right="567" w:bottom="1440" w:left="567" w:header="851" w:footer="992" w:gutter="0"/>
          <w:cols w:space="0" w:num="1"/>
          <w:docGrid w:type="lines" w:linePitch="312" w:charSpace="0"/>
        </w:sectPr>
      </w:pPr>
    </w:p>
    <w:p>
      <w:pPr>
        <w:spacing w:line="360" w:lineRule="auto"/>
        <w:rPr>
          <w:rFonts w:ascii="楷体_GB2312" w:hAnsi="宋体" w:eastAsia="楷体_GB2312"/>
          <w:b/>
          <w:bCs/>
          <w:sz w:val="10"/>
          <w:szCs w:val="10"/>
        </w:rPr>
      </w:pPr>
      <w:bookmarkStart w:id="0" w:name="_Toc310770297"/>
      <w:bookmarkEnd w:id="0"/>
      <w:bookmarkStart w:id="1" w:name="_Toc310770289"/>
      <w:bookmarkEnd w:id="1"/>
      <w:bookmarkStart w:id="2" w:name="_Toc310770295"/>
      <w:bookmarkEnd w:id="2"/>
      <w:bookmarkStart w:id="3" w:name="_Toc310770290"/>
      <w:bookmarkEnd w:id="3"/>
      <w:bookmarkStart w:id="4" w:name="_Toc310770288"/>
      <w:bookmarkEnd w:id="4"/>
      <w:bookmarkStart w:id="5" w:name="_Toc310243219"/>
      <w:bookmarkEnd w:id="5"/>
      <w:bookmarkStart w:id="6" w:name="_Toc310770300"/>
      <w:bookmarkEnd w:id="6"/>
      <w:bookmarkStart w:id="7" w:name="_Toc310770294"/>
      <w:bookmarkEnd w:id="7"/>
      <w:bookmarkStart w:id="8" w:name="_Toc309367133"/>
      <w:bookmarkEnd w:id="8"/>
      <w:bookmarkStart w:id="9" w:name="_Toc310770298"/>
      <w:bookmarkEnd w:id="9"/>
      <w:bookmarkStart w:id="10" w:name="_Toc310770299"/>
      <w:bookmarkEnd w:id="10"/>
      <w:bookmarkStart w:id="11" w:name="_Toc310770304"/>
      <w:bookmarkEnd w:id="11"/>
      <w:bookmarkStart w:id="12" w:name="_Toc310770301"/>
      <w:bookmarkEnd w:id="12"/>
      <w:bookmarkStart w:id="13" w:name="_Toc310770306"/>
      <w:bookmarkEnd w:id="13"/>
      <w:bookmarkStart w:id="14" w:name="_Toc310770293"/>
      <w:bookmarkEnd w:id="14"/>
      <w:bookmarkStart w:id="15" w:name="_Toc310770303"/>
      <w:bookmarkEnd w:id="15"/>
      <w:bookmarkStart w:id="16" w:name="_Toc310770302"/>
      <w:bookmarkEnd w:id="16"/>
      <w:bookmarkStart w:id="17" w:name="_Toc309044893"/>
      <w:bookmarkEnd w:id="17"/>
      <w:bookmarkStart w:id="18" w:name="_Toc310770292"/>
      <w:bookmarkEnd w:id="18"/>
      <w:bookmarkStart w:id="19" w:name="_Toc310770291"/>
      <w:bookmarkEnd w:id="19"/>
      <w:bookmarkStart w:id="20" w:name="_Toc310770296"/>
      <w:bookmarkEnd w:id="20"/>
      <w:r>
        <w:rPr>
          <w:rFonts w:hint="eastAsia" w:ascii="黑体" w:hAnsi="宋体" w:eastAsia="黑体"/>
          <w:b/>
          <w:bCs/>
          <w:sz w:val="32"/>
          <w:szCs w:val="32"/>
        </w:rPr>
        <w:drawing>
          <wp:inline distT="0" distB="0" distL="114300" distR="114300">
            <wp:extent cx="1409700" cy="396240"/>
            <wp:effectExtent l="0" t="0" r="0" b="3810"/>
            <wp:docPr id="1" name="图片 1" descr="微信图片_2020092809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928093013"/>
                    <pic:cNvPicPr>
                      <a:picLocks noChangeAspect="1"/>
                    </pic:cNvPicPr>
                  </pic:nvPicPr>
                  <pic:blipFill>
                    <a:blip r:embed="rId4"/>
                    <a:srcRect l="16878" t="36592" r="16667" b="38496"/>
                    <a:stretch>
                      <a:fillRect/>
                    </a:stretch>
                  </pic:blipFill>
                  <pic:spPr>
                    <a:xfrm>
                      <a:off x="0" y="0"/>
                      <a:ext cx="1409700" cy="396240"/>
                    </a:xfrm>
                    <a:prstGeom prst="rect">
                      <a:avLst/>
                    </a:prstGeom>
                    <a:noFill/>
                    <a:ln w="9525">
                      <a:noFill/>
                    </a:ln>
                  </pic:spPr>
                </pic:pic>
              </a:graphicData>
            </a:graphic>
          </wp:inline>
        </w:drawing>
      </w:r>
      <w:r>
        <w:rPr>
          <w:rFonts w:hint="eastAsia" w:ascii="黑体" w:hAnsi="宋体" w:eastAsia="黑体"/>
          <w:b/>
          <w:bCs/>
          <w:sz w:val="32"/>
          <w:szCs w:val="32"/>
        </w:rPr>
        <w:t xml:space="preserve">  理财产品风险揭示书</w:t>
      </w:r>
    </w:p>
    <w:p>
      <w:pPr>
        <w:spacing w:line="260" w:lineRule="exact"/>
        <w:rPr>
          <w:rFonts w:ascii="宋体" w:hAnsi="宋体"/>
          <w:bCs/>
          <w:szCs w:val="21"/>
        </w:rPr>
      </w:pPr>
      <w:r>
        <w:rPr>
          <w:rFonts w:hint="eastAsia" w:ascii="宋体" w:hAnsi="宋体" w:cs="楷体_GB2312"/>
          <w:bCs/>
          <w:szCs w:val="21"/>
        </w:rPr>
        <w:t>尊敬的客户：</w:t>
      </w:r>
    </w:p>
    <w:p>
      <w:pPr>
        <w:spacing w:line="260" w:lineRule="exact"/>
        <w:ind w:firstLine="420" w:firstLineChars="200"/>
        <w:rPr>
          <w:rFonts w:ascii="宋体" w:hAnsi="宋体" w:cs="楷体_GB2312"/>
          <w:bCs/>
          <w:color w:val="000000"/>
          <w:szCs w:val="21"/>
        </w:rPr>
      </w:pPr>
      <w:r>
        <w:rPr>
          <w:rFonts w:hint="eastAsia" w:ascii="宋体" w:hAnsi="宋体" w:cs="楷体_GB2312"/>
          <w:bCs/>
          <w:color w:val="000000"/>
          <w:szCs w:val="21"/>
        </w:rPr>
        <w:t>在您选择购买本产品前，请仔细阅读以下内容：</w:t>
      </w:r>
    </w:p>
    <w:p>
      <w:pPr>
        <w:autoSpaceDE w:val="0"/>
        <w:autoSpaceDN w:val="0"/>
        <w:spacing w:line="260" w:lineRule="exact"/>
        <w:ind w:firstLine="421"/>
        <w:rPr>
          <w:rFonts w:ascii="宋体" w:hAnsi="宋体" w:cs="楷体_GB2312"/>
          <w:b/>
          <w:color w:val="000000"/>
          <w:szCs w:val="21"/>
        </w:rPr>
      </w:pPr>
      <w:r>
        <w:rPr>
          <w:rFonts w:hint="eastAsia" w:ascii="宋体" w:hAnsi="宋体" w:cs="楷体_GB2312"/>
          <w:b/>
          <w:color w:val="000000"/>
          <w:szCs w:val="21"/>
        </w:rPr>
        <w:t>一、</w:t>
      </w:r>
      <w:r>
        <w:rPr>
          <w:rFonts w:ascii="宋体" w:hAnsi="宋体" w:cs="楷体_GB2312"/>
          <w:b/>
          <w:color w:val="000000"/>
          <w:szCs w:val="21"/>
        </w:rPr>
        <w:t>理财非存款、产品有风险、投资须谨慎</w:t>
      </w:r>
      <w:r>
        <w:rPr>
          <w:rFonts w:hint="eastAsia" w:ascii="宋体" w:hAnsi="宋体" w:cs="楷体_GB2312"/>
          <w:b/>
          <w:color w:val="000000"/>
          <w:szCs w:val="21"/>
        </w:rPr>
        <w:t>。</w:t>
      </w:r>
    </w:p>
    <w:p>
      <w:pPr>
        <w:autoSpaceDE w:val="0"/>
        <w:autoSpaceDN w:val="0"/>
        <w:spacing w:line="260" w:lineRule="exact"/>
        <w:ind w:firstLine="421"/>
        <w:rPr>
          <w:rFonts w:ascii="宋体" w:hAnsi="宋体" w:cs="楷体_GB2312"/>
          <w:b/>
          <w:color w:val="000000"/>
          <w:szCs w:val="21"/>
        </w:rPr>
      </w:pPr>
      <w:r>
        <w:rPr>
          <w:rFonts w:hint="eastAsia" w:ascii="宋体" w:hAnsi="宋体" w:cs="楷体_GB2312"/>
          <w:b/>
          <w:color w:val="000000"/>
          <w:szCs w:val="21"/>
        </w:rPr>
        <w:t>二、“理财产品过往业绩不代表其未来表现，不等于理财产品实际收益，投资须谨慎”。</w:t>
      </w:r>
    </w:p>
    <w:p>
      <w:pPr>
        <w:autoSpaceDE w:val="0"/>
        <w:autoSpaceDN w:val="0"/>
        <w:spacing w:line="260" w:lineRule="exact"/>
        <w:ind w:firstLine="421"/>
        <w:rPr>
          <w:rFonts w:ascii="宋体" w:hAnsi="宋体"/>
          <w:b/>
          <w:bCs/>
          <w:szCs w:val="21"/>
        </w:rPr>
      </w:pPr>
      <w:r>
        <w:rPr>
          <w:rFonts w:hint="eastAsia" w:ascii="宋体" w:hAnsi="宋体" w:cs="楷体_GB2312"/>
          <w:b/>
          <w:color w:val="000000"/>
          <w:szCs w:val="21"/>
        </w:rPr>
        <w:t>三、</w:t>
      </w:r>
      <w:r>
        <w:rPr>
          <w:rFonts w:hint="eastAsia" w:ascii="宋体" w:hAnsi="宋体" w:cs="楷体_GB2312"/>
          <w:bCs/>
          <w:color w:val="000000"/>
          <w:szCs w:val="21"/>
        </w:rPr>
        <w:t>本产品是非保本净值型理财产品，</w:t>
      </w:r>
      <w:r>
        <w:rPr>
          <w:rFonts w:hint="eastAsia" w:ascii="宋体" w:hAnsi="宋体" w:cs="楷体_GB2312"/>
          <w:b/>
          <w:color w:val="000000"/>
          <w:szCs w:val="21"/>
        </w:rPr>
        <w:t>绍兴银行对本产品的理财本金和收益不提供保证承诺。</w:t>
      </w:r>
      <w:r>
        <w:rPr>
          <w:rFonts w:hint="eastAsia" w:ascii="宋体" w:hAnsi="宋体" w:cs="楷体_GB2312"/>
          <w:bCs/>
          <w:color w:val="000000"/>
          <w:szCs w:val="21"/>
        </w:rPr>
        <w:t>在发生不利的情况下，投资者可能无法取得理财收益，并可能面临损失理财本金的风险。最不利的情况下，投资者可能损失全部本金。您应充分认识投资风险，谨慎投资。购买本产品，您可能面临如下风险</w:t>
      </w:r>
      <w:r>
        <w:rPr>
          <w:rFonts w:hint="eastAsia" w:ascii="宋体" w:hAnsi="宋体" w:cs="楷体_GB2312"/>
          <w:bCs/>
          <w:szCs w:val="21"/>
        </w:rPr>
        <w:t>：</w:t>
      </w:r>
    </w:p>
    <w:p>
      <w:pPr>
        <w:pStyle w:val="19"/>
        <w:numPr>
          <w:ilvl w:val="0"/>
          <w:numId w:val="7"/>
        </w:numPr>
        <w:tabs>
          <w:tab w:val="left" w:pos="1134"/>
        </w:tabs>
        <w:spacing w:line="260" w:lineRule="exact"/>
        <w:ind w:firstLineChars="0"/>
        <w:rPr>
          <w:rFonts w:ascii="宋体" w:hAnsi="宋体" w:cs="楷体_GB2312"/>
          <w:bCs/>
          <w:color w:val="000000"/>
          <w:szCs w:val="21"/>
        </w:rPr>
      </w:pPr>
      <w:r>
        <w:rPr>
          <w:rFonts w:hint="eastAsia" w:ascii="宋体" w:hAnsi="宋体" w:cs="楷体_GB2312"/>
          <w:b/>
          <w:bCs/>
          <w:szCs w:val="21"/>
        </w:rPr>
        <w:t>信用风险:</w:t>
      </w:r>
      <w:r>
        <w:rPr>
          <w:rFonts w:hint="eastAsia" w:ascii="宋体" w:hAnsi="宋体" w:cs="楷体_GB2312"/>
          <w:szCs w:val="21"/>
        </w:rPr>
        <w:t>如果</w:t>
      </w:r>
      <w:r>
        <w:rPr>
          <w:rFonts w:hint="eastAsia" w:ascii="宋体" w:hAnsi="宋体" w:cs="楷体_GB2312"/>
          <w:bCs/>
          <w:color w:val="000000"/>
          <w:szCs w:val="21"/>
        </w:rPr>
        <w:t>本产品所投资资产到期时由于融资人无法按时还本付息，造成违约，将导致投资本金或收益遭受损失，从而引起本产品净值增长减缓或者出现净值下降；极端情况下，当本产品所投资全部资产均出现违约事件，本产品净值将降为零，投资者将损失全部本金。</w:t>
      </w:r>
    </w:p>
    <w:p>
      <w:pPr>
        <w:pStyle w:val="19"/>
        <w:numPr>
          <w:ilvl w:val="0"/>
          <w:numId w:val="7"/>
        </w:numPr>
        <w:tabs>
          <w:tab w:val="left" w:pos="1134"/>
        </w:tabs>
        <w:spacing w:line="260" w:lineRule="exact"/>
        <w:ind w:firstLine="420" w:firstLineChars="0"/>
        <w:rPr>
          <w:rFonts w:ascii="宋体" w:hAnsi="宋体" w:cs="楷体_GB2312"/>
          <w:bCs/>
          <w:color w:val="000000"/>
          <w:szCs w:val="21"/>
        </w:rPr>
      </w:pPr>
      <w:r>
        <w:rPr>
          <w:rFonts w:hint="eastAsia" w:ascii="宋体" w:hAnsi="宋体" w:cs="楷体_GB2312"/>
          <w:b/>
          <w:color w:val="000000"/>
          <w:szCs w:val="21"/>
        </w:rPr>
        <w:t>市场风险：</w:t>
      </w:r>
      <w:r>
        <w:rPr>
          <w:rFonts w:hint="eastAsia" w:ascii="宋体" w:hAnsi="宋体" w:cs="楷体_GB2312"/>
          <w:bCs/>
          <w:color w:val="000000"/>
          <w:szCs w:val="21"/>
        </w:rPr>
        <w:t>因国家政策、经济周期、利率、汇率、通货膨胀以及投资品种的其他因素发生变动，导致本产品所投资产的市场价格发生波动，引起产品份额净值朝不利的方向变动，由此可能导致本理财产品遭受损失。</w:t>
      </w:r>
    </w:p>
    <w:p>
      <w:pPr>
        <w:pStyle w:val="19"/>
        <w:numPr>
          <w:ilvl w:val="0"/>
          <w:numId w:val="7"/>
        </w:numPr>
        <w:tabs>
          <w:tab w:val="left" w:pos="1134"/>
        </w:tabs>
        <w:spacing w:line="260" w:lineRule="exact"/>
        <w:ind w:firstLineChars="0"/>
        <w:rPr>
          <w:rFonts w:ascii="宋体" w:hAnsi="宋体" w:cs="楷体_GB2312"/>
          <w:bCs/>
          <w:color w:val="000000"/>
          <w:szCs w:val="21"/>
        </w:rPr>
      </w:pPr>
      <w:r>
        <w:rPr>
          <w:rFonts w:hint="eastAsia" w:ascii="宋体" w:hAnsi="宋体" w:cs="楷体_GB2312"/>
          <w:b/>
          <w:bCs/>
          <w:color w:val="000000"/>
          <w:szCs w:val="21"/>
        </w:rPr>
        <w:t>政策风险：</w:t>
      </w:r>
      <w:r>
        <w:rPr>
          <w:rFonts w:hint="eastAsia" w:ascii="宋体" w:hAnsi="宋体" w:cs="楷体_GB2312"/>
          <w:bCs/>
          <w:color w:val="000000"/>
          <w:szCs w:val="21"/>
        </w:rPr>
        <w:t>本期理财产品是根据当前相关法规和政策设计的。如果在产品运作期间，国家宏观政策以及相关法规发生变化，将影响理财产品的投资、申购、赎回等行为的正常开展，进而导致本产品发生损失。</w:t>
      </w:r>
    </w:p>
    <w:p>
      <w:pPr>
        <w:pStyle w:val="19"/>
        <w:numPr>
          <w:ilvl w:val="0"/>
          <w:numId w:val="7"/>
        </w:numPr>
        <w:tabs>
          <w:tab w:val="left" w:pos="1134"/>
        </w:tabs>
        <w:spacing w:line="260" w:lineRule="exact"/>
        <w:ind w:firstLineChars="0"/>
        <w:rPr>
          <w:rFonts w:ascii="宋体" w:hAnsi="宋体" w:cs="楷体_GB2312"/>
          <w:bCs/>
          <w:color w:val="000000"/>
          <w:szCs w:val="21"/>
        </w:rPr>
      </w:pPr>
      <w:r>
        <w:rPr>
          <w:rFonts w:hint="eastAsia" w:ascii="宋体" w:hAnsi="宋体" w:cs="楷体_GB2312"/>
          <w:b/>
          <w:bCs/>
          <w:color w:val="000000"/>
          <w:szCs w:val="21"/>
        </w:rPr>
        <w:t>流动性风险</w:t>
      </w:r>
      <w:r>
        <w:rPr>
          <w:rFonts w:hint="eastAsia" w:ascii="宋体" w:hAnsi="宋体" w:cs="楷体_GB2312"/>
          <w:bCs/>
          <w:color w:val="000000"/>
          <w:szCs w:val="21"/>
        </w:rPr>
        <w:t>：对于封闭式产品，如果产品到期前投资者产生流动性需求，可能面临资金需求日与理财资金到账日不匹配的流动性风险；对于开放式产品，如果投资者在产品约定的非赎回时间产生流动性需求，或者虽然在赎回时间内但遇巨额赎回时，投资者可能面临不能及时赎回理财产品的风险。</w:t>
      </w:r>
    </w:p>
    <w:p>
      <w:pPr>
        <w:pStyle w:val="19"/>
        <w:numPr>
          <w:ilvl w:val="0"/>
          <w:numId w:val="7"/>
        </w:numPr>
        <w:tabs>
          <w:tab w:val="left" w:pos="1134"/>
        </w:tabs>
        <w:spacing w:line="260" w:lineRule="exact"/>
        <w:ind w:firstLineChars="0"/>
        <w:rPr>
          <w:rFonts w:ascii="宋体" w:hAnsi="宋体" w:cs="楷体_GB2312"/>
          <w:bCs/>
          <w:color w:val="000000"/>
          <w:szCs w:val="21"/>
        </w:rPr>
      </w:pPr>
      <w:r>
        <w:rPr>
          <w:rFonts w:hint="eastAsia" w:ascii="宋体" w:hAnsi="宋体" w:cs="楷体_GB2312"/>
          <w:b/>
          <w:bCs/>
          <w:color w:val="000000"/>
          <w:szCs w:val="21"/>
        </w:rPr>
        <w:t>延期兑付风险：</w:t>
      </w:r>
      <w:r>
        <w:rPr>
          <w:rFonts w:hint="eastAsia" w:ascii="宋体" w:hAnsi="宋体" w:cs="楷体_GB2312"/>
          <w:bCs/>
          <w:color w:val="000000"/>
          <w:szCs w:val="21"/>
        </w:rPr>
        <w:t>若发生延缓支付赎回款项</w:t>
      </w:r>
      <w:r>
        <w:rPr>
          <w:rFonts w:hint="eastAsia" w:ascii="宋体" w:hAnsi="宋体"/>
          <w:color w:val="000000"/>
          <w:spacing w:val="10"/>
        </w:rPr>
        <w:t>的情形</w:t>
      </w:r>
      <w:r>
        <w:rPr>
          <w:rFonts w:hint="eastAsia" w:ascii="宋体" w:hAnsi="宋体" w:cs="楷体_GB2312"/>
          <w:bCs/>
          <w:color w:val="000000"/>
          <w:szCs w:val="21"/>
        </w:rPr>
        <w:t>，投资者将面临理财产品延期兑付的风险。</w:t>
      </w:r>
    </w:p>
    <w:p>
      <w:pPr>
        <w:pStyle w:val="19"/>
        <w:numPr>
          <w:ilvl w:val="0"/>
          <w:numId w:val="7"/>
        </w:numPr>
        <w:tabs>
          <w:tab w:val="left" w:pos="1134"/>
        </w:tabs>
        <w:spacing w:line="260" w:lineRule="exact"/>
        <w:ind w:firstLineChars="0"/>
        <w:rPr>
          <w:rFonts w:ascii="宋体" w:hAnsi="宋体" w:cs="楷体_GB2312"/>
          <w:bCs/>
          <w:color w:val="000000"/>
          <w:szCs w:val="21"/>
        </w:rPr>
      </w:pPr>
      <w:r>
        <w:rPr>
          <w:rFonts w:hint="eastAsia" w:ascii="宋体" w:hAnsi="宋体" w:cs="楷体_GB2312"/>
          <w:b/>
          <w:bCs/>
          <w:color w:val="000000"/>
          <w:szCs w:val="21"/>
        </w:rPr>
        <w:t>提前终止风险：</w:t>
      </w:r>
      <w:r>
        <w:rPr>
          <w:rFonts w:hint="eastAsia" w:ascii="宋体" w:hAnsi="宋体" w:cs="楷体_GB2312"/>
          <w:bCs/>
          <w:color w:val="000000"/>
          <w:szCs w:val="21"/>
        </w:rPr>
        <w:t>在本期理财产品存续期内，绍兴银行有权在特定情况下提前终止，一旦本期产品被提前终止，投资者将无法实现期初预计的理财收益。</w:t>
      </w:r>
    </w:p>
    <w:p>
      <w:pPr>
        <w:pStyle w:val="19"/>
        <w:numPr>
          <w:ilvl w:val="0"/>
          <w:numId w:val="7"/>
        </w:numPr>
        <w:spacing w:line="260" w:lineRule="exact"/>
        <w:ind w:firstLineChars="0"/>
        <w:rPr>
          <w:rFonts w:ascii="宋体" w:hAnsi="宋体" w:cs="楷体_GB2312"/>
          <w:bCs/>
          <w:szCs w:val="21"/>
        </w:rPr>
      </w:pPr>
      <w:r>
        <w:rPr>
          <w:rFonts w:hint="eastAsia" w:ascii="宋体" w:hAnsi="宋体" w:cs="楷体_GB2312"/>
          <w:b/>
          <w:bCs/>
          <w:szCs w:val="21"/>
        </w:rPr>
        <w:t>信息传递风险：</w:t>
      </w:r>
      <w:r>
        <w:rPr>
          <w:rFonts w:hint="eastAsia" w:ascii="宋体" w:hAnsi="宋体" w:cs="楷体_GB2312"/>
          <w:bCs/>
          <w:szCs w:val="21"/>
        </w:rPr>
        <w:t>绍兴银行按照销售文件中有关信息披露条款的约定，发布理财产品的信息与公告。投资者应依据理财销售文件的约定,及时登录绍兴银行网站或致电绍兴银行客服热线或到绍兴银行各营业网点查询。如因投资者未及时查询，或因通讯、系统故障以及其它不可抗力等因素的影响，致使投资者无法及时了解理财产品信息，所产生的风险由投资者自行承担。</w:t>
      </w:r>
    </w:p>
    <w:p>
      <w:pPr>
        <w:pStyle w:val="19"/>
        <w:spacing w:line="260" w:lineRule="exact"/>
        <w:rPr>
          <w:rFonts w:ascii="宋体" w:hAnsi="宋体" w:cs="楷体_GB2312"/>
          <w:bCs/>
          <w:szCs w:val="21"/>
        </w:rPr>
      </w:pPr>
      <w:r>
        <w:rPr>
          <w:rFonts w:hint="eastAsia" w:ascii="宋体" w:hAnsi="宋体" w:cs="楷体_GB2312"/>
          <w:bCs/>
          <w:szCs w:val="21"/>
        </w:rPr>
        <w:t>另外，投资者预留在绍兴银行的有效联系方式若发生变更，应及时通知绍兴银行，如因投资者未及时告知，导致绍兴银行无法及时联系投资者，由此产生的责任和风险由投资者自行承担。</w:t>
      </w:r>
    </w:p>
    <w:p>
      <w:pPr>
        <w:pStyle w:val="19"/>
        <w:numPr>
          <w:ilvl w:val="0"/>
          <w:numId w:val="7"/>
        </w:numPr>
        <w:spacing w:line="260" w:lineRule="exact"/>
        <w:ind w:firstLine="422" w:firstLineChars="0"/>
        <w:rPr>
          <w:rFonts w:ascii="宋体" w:hAnsi="宋体" w:cs="楷体_GB2312"/>
          <w:bCs/>
          <w:color w:val="000000"/>
          <w:szCs w:val="21"/>
        </w:rPr>
      </w:pPr>
      <w:r>
        <w:rPr>
          <w:rFonts w:hint="eastAsia" w:ascii="宋体" w:hAnsi="宋体" w:cs="楷体_GB2312"/>
          <w:b/>
          <w:bCs/>
          <w:szCs w:val="21"/>
        </w:rPr>
        <w:t>其他风险</w:t>
      </w:r>
      <w:r>
        <w:rPr>
          <w:rFonts w:hint="eastAsia" w:ascii="宋体" w:hAnsi="宋体" w:cs="楷体_GB2312"/>
          <w:szCs w:val="21"/>
        </w:rPr>
        <w:t>：</w:t>
      </w:r>
      <w:r>
        <w:rPr>
          <w:rFonts w:hint="eastAsia" w:ascii="宋体" w:hAnsi="宋体" w:cs="楷体_GB2312"/>
          <w:bCs/>
          <w:color w:val="000000"/>
          <w:szCs w:val="21"/>
        </w:rPr>
        <w:t>指由于自然灾害、战争、重大政治事件等不可抗力因素的出现，将严重影响金融市场的正常运行，导致本期理财产品净值的下降，给投资者带来本金和收益的损失。</w:t>
      </w:r>
    </w:p>
    <w:p>
      <w:pPr>
        <w:autoSpaceDE w:val="0"/>
        <w:autoSpaceDN w:val="0"/>
        <w:spacing w:line="260" w:lineRule="exact"/>
        <w:ind w:firstLine="421"/>
        <w:rPr>
          <w:rFonts w:ascii="宋体" w:hAnsi="宋体" w:cs="楷体_GB2312"/>
          <w:bCs/>
          <w:color w:val="000000"/>
          <w:szCs w:val="21"/>
        </w:rPr>
      </w:pPr>
      <w:r>
        <w:rPr>
          <w:rFonts w:hint="eastAsia" w:ascii="宋体" w:hAnsi="宋体" w:cs="楷体_GB2312"/>
          <w:bCs/>
          <w:color w:val="000000"/>
          <w:szCs w:val="21"/>
        </w:rPr>
        <w:t>四、本《风险揭示书》与《产品说明书》、《投资者权益须知》、《产品协议书》等均为本产品销售文件不可分割之组成部分，在购买本产品前，投资者应仔细阅读上述文件中的各项条款，确保自己完全明白本产品的性质和所涉及的风险，在慎重考虑后自行决定购买与自身风险承受能力相匹配的理财产品。</w:t>
      </w:r>
    </w:p>
    <w:p>
      <w:pPr>
        <w:spacing w:line="260" w:lineRule="exact"/>
        <w:ind w:firstLine="422" w:firstLineChars="200"/>
        <w:rPr>
          <w:rFonts w:ascii="宋体" w:hAnsi="宋体"/>
          <w:b/>
          <w:color w:val="000000"/>
          <w:szCs w:val="21"/>
        </w:rPr>
      </w:pPr>
      <w:r>
        <w:rPr>
          <w:rFonts w:hint="eastAsia" w:ascii="宋体" w:hAnsi="宋体" w:cs="楷体_GB2312"/>
          <w:b/>
          <w:color w:val="000000"/>
          <w:szCs w:val="21"/>
        </w:rPr>
        <w:t>五、特别提示</w:t>
      </w:r>
    </w:p>
    <w:p>
      <w:pPr>
        <w:spacing w:line="260" w:lineRule="exact"/>
        <w:ind w:firstLine="422" w:firstLineChars="200"/>
        <w:rPr>
          <w:rFonts w:ascii="宋体" w:hAnsi="宋体" w:cs="楷体_GB2312"/>
          <w:b/>
          <w:color w:val="000000"/>
          <w:szCs w:val="21"/>
        </w:rPr>
      </w:pPr>
      <w:r>
        <w:rPr>
          <w:rFonts w:hint="eastAsia" w:ascii="宋体" w:hAnsi="宋体" w:cs="楷体_GB2312"/>
          <w:b/>
          <w:color w:val="000000"/>
          <w:szCs w:val="21"/>
        </w:rPr>
        <w:t>在您签署相关合同文本前，请仔细阅读本产品说明书及风险提示内容，该产品说明书及风险揭示书不构成任何投资建议或暗示。请您充分了解产品投资风险，同时向我行了解本理财产品的其他相关信息，根据自身的风险承受能力谨慎购买。您应充分认识投资风险，谨慎投资。</w:t>
      </w:r>
    </w:p>
    <w:p>
      <w:pPr>
        <w:autoSpaceDE w:val="0"/>
        <w:autoSpaceDN w:val="0"/>
        <w:spacing w:line="260" w:lineRule="exact"/>
        <w:ind w:firstLine="421"/>
        <w:rPr>
          <w:rFonts w:ascii="宋体" w:hAnsi="宋体" w:cs="楷体_GB2312"/>
          <w:bCs/>
          <w:color w:val="000000"/>
          <w:szCs w:val="21"/>
        </w:rPr>
      </w:pPr>
      <w:r>
        <w:rPr>
          <w:rFonts w:hint="eastAsia" w:ascii="宋体" w:hAnsi="宋体" w:cs="楷体_GB2312"/>
          <w:b/>
          <w:color w:val="000000"/>
          <w:szCs w:val="21"/>
        </w:rPr>
        <w:t>六、</w:t>
      </w:r>
      <w:r>
        <w:rPr>
          <w:rFonts w:hint="eastAsia" w:ascii="宋体" w:hAnsi="宋体" w:cs="楷体_GB2312"/>
          <w:bCs/>
          <w:color w:val="000000"/>
          <w:szCs w:val="21"/>
        </w:rPr>
        <w:t>本产品绍兴银行内部风险评级为【</w:t>
      </w:r>
      <w:r>
        <w:rPr>
          <w:rFonts w:hint="eastAsia" w:ascii="宋体" w:hAnsi="宋体"/>
          <w:bCs/>
          <w:color w:val="000000"/>
          <w:szCs w:val="21"/>
        </w:rPr>
        <w:t>□</w:t>
      </w:r>
      <w:r>
        <w:rPr>
          <w:rFonts w:hint="eastAsia" w:ascii="宋体" w:hAnsi="宋体" w:cs="楷体_GB2312"/>
          <w:b/>
          <w:bCs/>
          <w:szCs w:val="21"/>
        </w:rPr>
        <w:t>R1（低）</w:t>
      </w:r>
      <w:r>
        <w:rPr>
          <w:rFonts w:hint="eastAsia" w:ascii="仿宋" w:hAnsi="仿宋" w:eastAsia="仿宋" w:cs="仿宋"/>
          <w:bCs/>
          <w:color w:val="000000"/>
          <w:szCs w:val="21"/>
        </w:rPr>
        <w:t>■</w:t>
      </w:r>
      <w:r>
        <w:rPr>
          <w:rFonts w:hint="eastAsia" w:ascii="宋体" w:hAnsi="宋体" w:cs="楷体_GB2312"/>
          <w:b/>
          <w:bCs/>
          <w:szCs w:val="21"/>
        </w:rPr>
        <w:t>R2（中低）</w:t>
      </w:r>
      <w:r>
        <w:rPr>
          <w:rFonts w:hint="eastAsia" w:ascii="宋体" w:hAnsi="宋体" w:cs="楷体_GB2312"/>
          <w:bCs/>
          <w:szCs w:val="21"/>
        </w:rPr>
        <w:t>□</w:t>
      </w:r>
      <w:r>
        <w:rPr>
          <w:rFonts w:hint="eastAsia" w:ascii="宋体" w:hAnsi="宋体" w:cs="楷体_GB2312"/>
          <w:b/>
          <w:bCs/>
          <w:szCs w:val="21"/>
        </w:rPr>
        <w:t>R3（中等）</w:t>
      </w:r>
      <w:r>
        <w:rPr>
          <w:rFonts w:hint="eastAsia" w:ascii="宋体" w:hAnsi="宋体" w:cs="楷体_GB2312"/>
          <w:bCs/>
          <w:szCs w:val="21"/>
        </w:rPr>
        <w:t>□</w:t>
      </w:r>
      <w:r>
        <w:rPr>
          <w:rFonts w:hint="eastAsia" w:ascii="宋体" w:hAnsi="宋体" w:cs="楷体_GB2312"/>
          <w:b/>
          <w:bCs/>
          <w:szCs w:val="21"/>
        </w:rPr>
        <w:t>R4（中高）</w:t>
      </w:r>
      <w:r>
        <w:rPr>
          <w:rFonts w:hint="eastAsia" w:ascii="宋体" w:hAnsi="宋体" w:cs="楷体_GB2312"/>
          <w:bCs/>
          <w:szCs w:val="21"/>
        </w:rPr>
        <w:t>□</w:t>
      </w:r>
      <w:r>
        <w:rPr>
          <w:rFonts w:hint="eastAsia" w:ascii="宋体" w:hAnsi="宋体" w:cs="楷体_GB2312"/>
          <w:b/>
          <w:bCs/>
          <w:szCs w:val="21"/>
        </w:rPr>
        <w:t>R5（高）】</w:t>
      </w:r>
      <w:r>
        <w:rPr>
          <w:rFonts w:hint="eastAsia"/>
          <w:szCs w:val="21"/>
        </w:rPr>
        <w:t>级</w:t>
      </w:r>
      <w:r>
        <w:rPr>
          <w:rFonts w:hint="eastAsia" w:ascii="宋体" w:hAnsi="宋体" w:cs="楷体_GB2312"/>
          <w:bCs/>
          <w:color w:val="000000"/>
          <w:szCs w:val="21"/>
        </w:rPr>
        <w:t>，适合风险承受能力为【</w:t>
      </w:r>
      <w:r>
        <w:rPr>
          <w:rFonts w:hint="eastAsia" w:ascii="宋体" w:hAnsi="宋体"/>
          <w:bCs/>
          <w:color w:val="000000"/>
          <w:szCs w:val="21"/>
        </w:rPr>
        <w:t>□</w:t>
      </w:r>
      <w:r>
        <w:rPr>
          <w:rFonts w:hint="eastAsia" w:ascii="宋体" w:hAnsi="宋体" w:cs="楷体_GB2312"/>
          <w:b/>
          <w:bCs/>
          <w:szCs w:val="21"/>
        </w:rPr>
        <w:t xml:space="preserve">保守型 </w:t>
      </w:r>
      <w:r>
        <w:rPr>
          <w:rFonts w:hint="eastAsia" w:ascii="仿宋" w:hAnsi="仿宋" w:eastAsia="仿宋" w:cs="仿宋"/>
          <w:bCs/>
          <w:color w:val="000000"/>
          <w:szCs w:val="21"/>
        </w:rPr>
        <w:t>■</w:t>
      </w:r>
      <w:r>
        <w:rPr>
          <w:rFonts w:hint="eastAsia" w:ascii="宋体" w:hAnsi="宋体"/>
          <w:b/>
          <w:szCs w:val="21"/>
        </w:rPr>
        <w:t>稳健</w:t>
      </w:r>
      <w:r>
        <w:rPr>
          <w:rFonts w:hint="eastAsia" w:ascii="宋体" w:hAnsi="宋体" w:cs="楷体_GB2312"/>
          <w:b/>
          <w:bCs/>
          <w:szCs w:val="21"/>
        </w:rPr>
        <w:t>型</w:t>
      </w:r>
      <w:r>
        <w:rPr>
          <w:rFonts w:hint="eastAsia" w:ascii="宋体" w:hAnsi="宋体" w:cs="楷体_GB2312"/>
          <w:bCs/>
          <w:szCs w:val="21"/>
        </w:rPr>
        <w:t xml:space="preserve"> □</w:t>
      </w:r>
      <w:r>
        <w:rPr>
          <w:rFonts w:hint="eastAsia"/>
          <w:b/>
          <w:szCs w:val="21"/>
        </w:rPr>
        <w:t>平衡</w:t>
      </w:r>
      <w:r>
        <w:rPr>
          <w:rFonts w:hint="eastAsia" w:ascii="宋体" w:hAnsi="宋体" w:cs="楷体_GB2312"/>
          <w:b/>
          <w:bCs/>
          <w:szCs w:val="21"/>
        </w:rPr>
        <w:t>型</w:t>
      </w:r>
      <w:r>
        <w:rPr>
          <w:rFonts w:hint="eastAsia" w:ascii="宋体" w:hAnsi="宋体" w:cs="楷体_GB2312"/>
          <w:bCs/>
          <w:szCs w:val="21"/>
        </w:rPr>
        <w:t xml:space="preserve"> □</w:t>
      </w:r>
      <w:r>
        <w:rPr>
          <w:rFonts w:hint="eastAsia"/>
          <w:b/>
          <w:szCs w:val="21"/>
        </w:rPr>
        <w:t>成长型</w:t>
      </w:r>
      <w:r>
        <w:rPr>
          <w:rFonts w:hint="eastAsia"/>
          <w:szCs w:val="21"/>
        </w:rPr>
        <w:t xml:space="preserve"> </w:t>
      </w:r>
      <w:r>
        <w:rPr>
          <w:rFonts w:hint="eastAsia" w:ascii="宋体" w:hAnsi="宋体" w:cs="楷体_GB2312"/>
          <w:bCs/>
          <w:szCs w:val="21"/>
        </w:rPr>
        <w:t>□</w:t>
      </w:r>
      <w:r>
        <w:rPr>
          <w:rFonts w:hint="eastAsia"/>
          <w:b/>
          <w:szCs w:val="21"/>
        </w:rPr>
        <w:t>进取型】</w:t>
      </w:r>
      <w:r>
        <w:rPr>
          <w:rFonts w:hint="eastAsia" w:ascii="宋体" w:hAnsi="宋体" w:cs="楷体_GB2312"/>
          <w:bCs/>
          <w:color w:val="000000"/>
          <w:szCs w:val="21"/>
        </w:rPr>
        <w:t>及以上的投资者购买。</w:t>
      </w:r>
    </w:p>
    <w:p>
      <w:pPr>
        <w:pStyle w:val="17"/>
        <w:numPr>
          <w:ilvl w:val="0"/>
          <w:numId w:val="8"/>
        </w:numPr>
        <w:spacing w:line="260" w:lineRule="exact"/>
        <w:ind w:firstLineChars="0"/>
        <w:rPr>
          <w:rFonts w:ascii="宋体" w:hAnsi="宋体" w:cs="楷体_GB2312"/>
          <w:b/>
          <w:bCs/>
          <w:szCs w:val="21"/>
        </w:rPr>
      </w:pPr>
      <w:r>
        <w:rPr>
          <w:rFonts w:hint="eastAsia" w:ascii="宋体" w:hAnsi="宋体" w:cs="楷体_GB2312"/>
          <w:b/>
          <w:bCs/>
          <w:szCs w:val="21"/>
        </w:rPr>
        <w:t>投资者确认风险承受能力评级（由投资者填写）：</w:t>
      </w:r>
    </w:p>
    <w:p>
      <w:pPr>
        <w:spacing w:line="260" w:lineRule="exact"/>
        <w:ind w:firstLine="420" w:firstLineChars="200"/>
        <w:rPr>
          <w:rFonts w:ascii="宋体" w:hAnsi="宋体" w:cs="楷体_GB2312"/>
          <w:b/>
          <w:bCs/>
          <w:szCs w:val="21"/>
        </w:rPr>
      </w:pPr>
      <w:r>
        <w:rPr>
          <w:rFonts w:hint="eastAsia" w:ascii="宋体" w:hAnsi="宋体" w:cs="楷体_GB2312"/>
          <w:bCs/>
          <w:szCs w:val="21"/>
        </w:rPr>
        <w:t>□</w:t>
      </w:r>
      <w:r>
        <w:rPr>
          <w:rFonts w:hint="eastAsia"/>
        </w:rPr>
        <w:t xml:space="preserve">保守型  </w:t>
      </w:r>
      <w:r>
        <w:rPr>
          <w:rFonts w:hint="eastAsia" w:ascii="宋体" w:hAnsi="宋体" w:cs="楷体_GB2312"/>
          <w:bCs/>
          <w:szCs w:val="21"/>
        </w:rPr>
        <w:t>□稳健型  □平衡型  □成长型  □进取型</w:t>
      </w:r>
    </w:p>
    <w:p>
      <w:pPr>
        <w:spacing w:line="260" w:lineRule="exact"/>
        <w:ind w:firstLine="420" w:firstLineChars="200"/>
        <w:rPr>
          <w:rFonts w:ascii="宋体" w:hAnsi="宋体" w:cs="楷体_GB2312"/>
          <w:bCs/>
          <w:color w:val="000000"/>
          <w:szCs w:val="21"/>
        </w:rPr>
      </w:pPr>
      <w:r>
        <w:rPr>
          <w:rFonts w:hint="eastAsia" w:ascii="宋体" w:hAnsi="宋体" w:cs="楷体_GB2312"/>
          <w:bCs/>
          <w:color w:val="000000"/>
          <w:szCs w:val="21"/>
        </w:rPr>
        <w:t>如影响您风险承受能力的因素发生变化，请及时完成风险承受能力评估。</w:t>
      </w:r>
    </w:p>
    <w:p>
      <w:pPr>
        <w:spacing w:line="260" w:lineRule="exact"/>
        <w:ind w:firstLine="420" w:firstLineChars="200"/>
        <w:rPr>
          <w:rFonts w:ascii="宋体" w:hAnsi="宋体" w:cs="楷体_GB2312"/>
          <w:bCs/>
          <w:color w:val="000000"/>
          <w:szCs w:val="21"/>
        </w:rPr>
      </w:pPr>
    </w:p>
    <w:p>
      <w:pPr>
        <w:spacing w:line="260" w:lineRule="exact"/>
        <w:ind w:firstLine="420" w:firstLineChars="200"/>
        <w:rPr>
          <w:rFonts w:ascii="宋体" w:hAnsi="宋体" w:cs="楷体_GB2312"/>
          <w:bCs/>
          <w:color w:val="000000"/>
          <w:szCs w:val="21"/>
        </w:rPr>
      </w:pPr>
      <w:r>
        <w:rPr>
          <w:rFonts w:hint="eastAsia" w:ascii="宋体" w:hAnsi="宋体" w:cs="楷体_GB2312"/>
          <w:bCs/>
          <w:szCs w:val="21"/>
        </w:rPr>
        <w:t>八、</w:t>
      </w:r>
      <w:r>
        <w:rPr>
          <w:rFonts w:hint="eastAsia" w:ascii="宋体" w:hAnsi="宋体" w:cs="楷体_GB2312"/>
          <w:bCs/>
          <w:color w:val="000000"/>
          <w:szCs w:val="21"/>
        </w:rPr>
        <w:t>请您认真阅读本理财产品销售文件中的全部条款与内容，了解本产品的基本情况、投资风险与收益状况等，并独立做出是否购买本理财产品的决策。</w:t>
      </w:r>
    </w:p>
    <w:p>
      <w:pPr>
        <w:spacing w:line="260" w:lineRule="exact"/>
        <w:rPr>
          <w:rFonts w:ascii="宋体" w:hAnsi="宋体" w:cs="楷体_GB2312"/>
          <w:bCs/>
          <w:color w:val="000000"/>
          <w:szCs w:val="21"/>
        </w:rPr>
      </w:pPr>
    </w:p>
    <w:p>
      <w:pPr>
        <w:spacing w:line="260" w:lineRule="exact"/>
        <w:ind w:firstLine="413" w:firstLineChars="196"/>
        <w:rPr>
          <w:rFonts w:ascii="宋体" w:hAnsi="宋体" w:cs="楷体_GB2312"/>
          <w:bCs/>
          <w:color w:val="000000"/>
          <w:szCs w:val="21"/>
        </w:rPr>
      </w:pPr>
      <w:r>
        <w:rPr>
          <w:rFonts w:hint="eastAsia" w:ascii="宋体" w:hAnsi="宋体" w:cs="楷体_GB2312"/>
          <w:b/>
          <w:color w:val="000000"/>
          <w:szCs w:val="21"/>
        </w:rPr>
        <w:t>本人确认如下：</w:t>
      </w:r>
      <w:r>
        <w:rPr>
          <w:rFonts w:hint="eastAsia" w:ascii="宋体" w:hAnsi="宋体" w:cs="楷体_GB2312"/>
          <w:bCs/>
          <w:color w:val="000000"/>
          <w:szCs w:val="21"/>
        </w:rPr>
        <w:t>（客户需全文抄录以下文字以完成确认）</w:t>
      </w:r>
    </w:p>
    <w:p>
      <w:pPr>
        <w:pStyle w:val="19"/>
        <w:spacing w:line="260" w:lineRule="exact"/>
        <w:ind w:firstLine="422"/>
        <w:rPr>
          <w:rFonts w:ascii="宋体" w:hAnsi="宋体" w:cs="楷体_GB2312"/>
          <w:b/>
          <w:bCs/>
          <w:szCs w:val="21"/>
        </w:rPr>
      </w:pPr>
    </w:p>
    <w:p>
      <w:pPr>
        <w:pStyle w:val="19"/>
        <w:spacing w:line="260" w:lineRule="exact"/>
        <w:ind w:firstLine="470" w:firstLineChars="195"/>
        <w:rPr>
          <w:rFonts w:ascii="宋体" w:hAnsi="宋体" w:cs="楷体_GB2312"/>
          <w:b/>
          <w:bCs/>
          <w:szCs w:val="21"/>
        </w:rPr>
      </w:pPr>
      <w:r>
        <w:rPr>
          <w:rFonts w:hint="eastAsia" w:ascii="宋体" w:hAnsi="宋体" w:cs="楷体_GB2312"/>
          <w:b/>
          <w:bCs/>
          <w:sz w:val="24"/>
          <w:szCs w:val="24"/>
        </w:rPr>
        <w:t>本人已经阅读风险揭示，愿意承担投资风险。</w:t>
      </w:r>
    </w:p>
    <w:p>
      <w:pPr>
        <w:pStyle w:val="19"/>
        <w:spacing w:line="260" w:lineRule="exact"/>
        <w:ind w:left="360" w:firstLine="0" w:firstLineChars="0"/>
        <w:rPr>
          <w:rFonts w:ascii="宋体" w:hAnsi="宋体"/>
          <w:b/>
          <w:bCs/>
          <w:szCs w:val="21"/>
        </w:rPr>
      </w:pPr>
    </w:p>
    <w:p>
      <w:pPr>
        <w:pStyle w:val="19"/>
        <w:spacing w:line="260" w:lineRule="exact"/>
        <w:ind w:left="360" w:firstLine="0" w:firstLineChars="0"/>
        <w:rPr>
          <w:rFonts w:ascii="宋体" w:hAnsi="宋体"/>
          <w:b/>
          <w:bCs/>
          <w:szCs w:val="21"/>
        </w:rPr>
      </w:pPr>
    </w:p>
    <w:p>
      <w:pPr>
        <w:spacing w:line="26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p>
    <w:p>
      <w:pPr>
        <w:tabs>
          <w:tab w:val="left" w:pos="760"/>
        </w:tabs>
        <w:spacing w:line="260" w:lineRule="exact"/>
        <w:rPr>
          <w:rFonts w:ascii="宋体" w:hAnsi="宋体" w:cs="楷体_GB2312"/>
          <w:szCs w:val="21"/>
        </w:rPr>
      </w:pPr>
    </w:p>
    <w:p>
      <w:pPr>
        <w:tabs>
          <w:tab w:val="left" w:pos="760"/>
        </w:tabs>
        <w:spacing w:line="260" w:lineRule="exact"/>
        <w:ind w:firstLine="264" w:firstLineChars="126"/>
        <w:rPr>
          <w:sz w:val="20"/>
          <w:szCs w:val="20"/>
        </w:rPr>
      </w:pPr>
      <w:r>
        <w:rPr>
          <w:rFonts w:hint="eastAsia" w:ascii="宋体" w:hAnsi="宋体" w:cs="楷体_GB2312"/>
          <w:bCs/>
          <w:color w:val="000000"/>
          <w:szCs w:val="21"/>
        </w:rPr>
        <w:t xml:space="preserve">确认人（签字）：                          日期：    年    月  </w:t>
      </w:r>
      <w:r>
        <w:rPr>
          <w:rFonts w:hint="eastAsia" w:ascii="宋体" w:hAnsi="宋体" w:cs="楷体_GB2312"/>
          <w:bCs/>
          <w:color w:val="000000"/>
          <w:sz w:val="20"/>
          <w:szCs w:val="20"/>
        </w:rPr>
        <w:t xml:space="preserve">  日</w:t>
      </w:r>
    </w:p>
    <w:p>
      <w:pPr>
        <w:rPr>
          <w:rFonts w:ascii="宋体" w:hAnsi="宋体" w:cs="楷体_GB2312"/>
          <w:bCs/>
          <w:color w:val="000000"/>
          <w:sz w:val="20"/>
          <w:szCs w:val="20"/>
        </w:rPr>
      </w:pPr>
      <w:r>
        <w:rPr>
          <w:rFonts w:hint="eastAsia"/>
          <w:sz w:val="20"/>
          <w:szCs w:val="20"/>
        </w:rPr>
        <w:t>（本风险揭示书一式二联，第一联由银行留存，第二联由客户留存。）</w:t>
      </w:r>
    </w:p>
    <w:p>
      <w:pPr>
        <w:spacing w:line="360" w:lineRule="auto"/>
        <w:rPr>
          <w:rFonts w:ascii="宋体" w:hAnsi="宋体"/>
          <w:b/>
          <w:color w:val="000000"/>
          <w:sz w:val="28"/>
          <w:szCs w:val="28"/>
        </w:rPr>
        <w:sectPr>
          <w:pgSz w:w="16838" w:h="11906" w:orient="landscape"/>
          <w:pgMar w:top="1134" w:right="1080" w:bottom="1134" w:left="1080" w:header="851" w:footer="992" w:gutter="0"/>
          <w:cols w:equalWidth="0" w:num="2">
            <w:col w:w="7126" w:space="425"/>
            <w:col w:w="7126"/>
          </w:cols>
          <w:docGrid w:type="lines" w:linePitch="321" w:charSpace="0"/>
        </w:sectPr>
      </w:pPr>
    </w:p>
    <w:p>
      <w:pPr>
        <w:spacing w:line="360" w:lineRule="auto"/>
        <w:jc w:val="center"/>
        <w:rPr>
          <w:rFonts w:ascii="仿宋_GB2312" w:hAnsi="宋体" w:eastAsia="仿宋_GB2312"/>
          <w:color w:val="000000"/>
          <w:spacing w:val="10"/>
          <w:sz w:val="24"/>
        </w:rPr>
      </w:pPr>
      <w:r>
        <w:rPr>
          <w:rFonts w:hint="eastAsia" w:ascii="黑体" w:hAnsi="宋体" w:eastAsia="黑体"/>
          <w:b/>
          <w:bCs/>
          <w:color w:val="000000"/>
          <w:sz w:val="36"/>
          <w:szCs w:val="36"/>
        </w:rPr>
        <w:t xml:space="preserve"> </w:t>
      </w:r>
      <w:r>
        <w:rPr>
          <w:rFonts w:ascii="黑体" w:hAnsi="宋体" w:eastAsia="黑体"/>
          <w:b/>
          <w:bCs/>
          <w:color w:val="000000"/>
          <w:sz w:val="36"/>
          <w:szCs w:val="36"/>
        </w:rPr>
        <w:t>金兰花汇富4号2535期</w:t>
      </w:r>
      <w:r>
        <w:rPr>
          <w:rFonts w:hint="eastAsia" w:ascii="黑体" w:hAnsi="宋体" w:eastAsia="黑体"/>
          <w:b/>
          <w:bCs/>
          <w:color w:val="000000"/>
          <w:sz w:val="36"/>
          <w:szCs w:val="36"/>
        </w:rPr>
        <w:t>说明书</w:t>
      </w:r>
    </w:p>
    <w:p>
      <w:pPr>
        <w:spacing w:line="360" w:lineRule="auto"/>
        <w:ind w:firstLine="462" w:firstLineChars="200"/>
        <w:rPr>
          <w:rFonts w:ascii="宋体" w:hAnsi="宋体"/>
          <w:b/>
          <w:bCs/>
          <w:color w:val="000000"/>
          <w:spacing w:val="10"/>
        </w:rPr>
      </w:pPr>
    </w:p>
    <w:p>
      <w:pPr>
        <w:spacing w:line="360" w:lineRule="auto"/>
        <w:rPr>
          <w:rFonts w:ascii="宋体" w:hAnsi="宋体"/>
          <w:b/>
          <w:bCs/>
          <w:color w:val="000000"/>
          <w:spacing w:val="10"/>
        </w:rPr>
      </w:pPr>
      <w:r>
        <w:rPr>
          <w:sz w:val="28"/>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159385</wp:posOffset>
                </wp:positionV>
                <wp:extent cx="6746240" cy="7037070"/>
                <wp:effectExtent l="5080" t="4445" r="5080" b="6985"/>
                <wp:wrapNone/>
                <wp:docPr id="5" name="文本框 5"/>
                <wp:cNvGraphicFramePr/>
                <a:graphic xmlns:a="http://schemas.openxmlformats.org/drawingml/2006/main">
                  <a:graphicData uri="http://schemas.microsoft.com/office/word/2010/wordprocessingShape">
                    <wps:wsp>
                      <wps:cNvSpPr txBox="1"/>
                      <wps:spPr>
                        <a:xfrm>
                          <a:off x="0" y="0"/>
                          <a:ext cx="6746240" cy="7037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ascii="宋体" w:hAnsi="宋体"/>
                                <w:b/>
                                <w:bCs/>
                                <w:color w:val="000000"/>
                                <w:spacing w:val="10"/>
                                <w:sz w:val="28"/>
                                <w:szCs w:val="28"/>
                              </w:rPr>
                            </w:pPr>
                            <w:r>
                              <w:rPr>
                                <w:rFonts w:hint="eastAsia" w:ascii="宋体" w:hAnsi="宋体"/>
                                <w:b/>
                                <w:bCs/>
                                <w:color w:val="000000"/>
                                <w:spacing w:val="10"/>
                                <w:sz w:val="28"/>
                                <w:szCs w:val="28"/>
                              </w:rPr>
                              <w:t>特别风险提示</w:t>
                            </w:r>
                          </w:p>
                          <w:p>
                            <w:pPr>
                              <w:numPr>
                                <w:ilvl w:val="0"/>
                                <w:numId w:val="9"/>
                              </w:numPr>
                              <w:spacing w:line="360" w:lineRule="auto"/>
                              <w:ind w:firstLine="462"/>
                              <w:rPr>
                                <w:rFonts w:ascii="宋体" w:hAnsi="宋体"/>
                                <w:b/>
                                <w:bCs/>
                                <w:color w:val="000000"/>
                                <w:spacing w:val="10"/>
                              </w:rPr>
                            </w:pPr>
                            <w:r>
                              <w:rPr>
                                <w:rFonts w:hint="eastAsia" w:ascii="宋体" w:hAnsi="宋体"/>
                                <w:b/>
                                <w:bCs/>
                                <w:color w:val="000000"/>
                                <w:spacing w:val="10"/>
                              </w:rPr>
                              <w:t>理财非存款、产品有风险、投资需谨慎。</w:t>
                            </w:r>
                          </w:p>
                          <w:p>
                            <w:pPr>
                              <w:numPr>
                                <w:ilvl w:val="0"/>
                                <w:numId w:val="9"/>
                              </w:numPr>
                              <w:spacing w:line="360" w:lineRule="auto"/>
                              <w:ind w:firstLine="462"/>
                              <w:rPr>
                                <w:rFonts w:ascii="宋体" w:hAnsi="宋体"/>
                                <w:b/>
                                <w:bCs/>
                                <w:color w:val="000000"/>
                                <w:spacing w:val="10"/>
                              </w:rPr>
                            </w:pPr>
                            <w:r>
                              <w:rPr>
                                <w:rFonts w:hint="eastAsia" w:ascii="宋体" w:hAnsi="宋体"/>
                                <w:b/>
                                <w:bCs/>
                                <w:color w:val="000000"/>
                                <w:spacing w:val="10"/>
                              </w:rPr>
                              <w:t>本产品为非保本封闭净值型理财产品，绍兴银行对本产品的本金和收益不提供保证承诺。本产品在发生不利情况下（可能但不一定发生），客户可能无法取得收益，并可能面临损失本金的风险。客户应认真阅读本产品说明书及风险揭示书的内容，基于自身的独立判断进行投资决策。</w:t>
                            </w:r>
                          </w:p>
                          <w:p>
                            <w:pPr>
                              <w:numPr>
                                <w:ilvl w:val="0"/>
                                <w:numId w:val="9"/>
                              </w:numPr>
                              <w:spacing w:line="360" w:lineRule="auto"/>
                              <w:ind w:firstLine="462"/>
                              <w:rPr>
                                <w:rFonts w:ascii="宋体" w:hAnsi="宋体"/>
                                <w:b/>
                                <w:bCs/>
                                <w:spacing w:val="10"/>
                                <w:szCs w:val="21"/>
                              </w:rPr>
                            </w:pPr>
                            <w:r>
                              <w:rPr>
                                <w:rFonts w:hint="eastAsia" w:ascii="宋体" w:hAnsi="宋体"/>
                                <w:b/>
                                <w:bCs/>
                                <w:spacing w:val="10"/>
                                <w:szCs w:val="21"/>
                              </w:rPr>
                              <w:t>本产品为固定收益类产品，产品投向为：（1）国债、地方政府债券、中央银行票据、政府支持债券、金融债券、非金融企业债务融资工具、公司债券、企业债券、信贷资产支持证券、资产支持票据、证券交易所挂牌交易的资产支持证券等；（2）存款、大额存单、同业存单、债券逆回购、同业拆借和公募证券投资基金；（3）非标准化债权资产和符合监管要求的其他资产；（4）</w:t>
                            </w:r>
                            <w:r>
                              <w:rPr>
                                <w:rFonts w:hint="eastAsia" w:ascii="宋体" w:hAnsi="宋体" w:eastAsia="宋体" w:cs="Times New Roman"/>
                                <w:b/>
                                <w:bCs/>
                                <w:spacing w:val="10"/>
                                <w:szCs w:val="21"/>
                              </w:rPr>
                              <w:t>底层资产为上述资产的、具有专业投资能力和资质的、受金融监管部门监管的金融机构发行的资产管理产品</w:t>
                            </w:r>
                            <w:r>
                              <w:rPr>
                                <w:rFonts w:hint="eastAsia" w:ascii="宋体" w:hAnsi="宋体"/>
                                <w:b/>
                                <w:bCs/>
                                <w:spacing w:val="10"/>
                                <w:szCs w:val="21"/>
                              </w:rPr>
                              <w:t>。投资上述资产将面临以下投资风险：</w:t>
                            </w:r>
                          </w:p>
                          <w:p>
                            <w:pPr>
                              <w:numPr>
                                <w:ilvl w:val="0"/>
                                <w:numId w:val="10"/>
                              </w:numPr>
                              <w:tabs>
                                <w:tab w:val="clear" w:pos="425"/>
                              </w:tabs>
                              <w:spacing w:line="360" w:lineRule="auto"/>
                              <w:ind w:firstLine="462"/>
                              <w:rPr>
                                <w:rFonts w:ascii="宋体" w:hAnsi="宋体"/>
                                <w:b/>
                                <w:bCs/>
                                <w:color w:val="000000"/>
                                <w:spacing w:val="10"/>
                              </w:rPr>
                            </w:pPr>
                            <w:r>
                              <w:rPr>
                                <w:rFonts w:hint="eastAsia" w:ascii="宋体" w:hAnsi="宋体"/>
                                <w:b/>
                                <w:bCs/>
                                <w:color w:val="000000"/>
                                <w:spacing w:val="10"/>
                              </w:rPr>
                              <w:t>利率风险：债券市场价格波动等事件对本产品所投资债券等资产的估值产生不利影响，导致本产品净值增长减缓甚至出现净值下降；</w:t>
                            </w:r>
                          </w:p>
                          <w:p>
                            <w:pPr>
                              <w:numPr>
                                <w:ilvl w:val="0"/>
                                <w:numId w:val="10"/>
                              </w:numPr>
                              <w:tabs>
                                <w:tab w:val="clear" w:pos="425"/>
                              </w:tabs>
                              <w:spacing w:line="360" w:lineRule="auto"/>
                              <w:ind w:firstLine="462"/>
                              <w:rPr>
                                <w:rFonts w:ascii="宋体" w:hAnsi="宋体"/>
                                <w:b/>
                                <w:bCs/>
                                <w:color w:val="000000"/>
                                <w:spacing w:val="10"/>
                              </w:rPr>
                            </w:pPr>
                            <w:r>
                              <w:rPr>
                                <w:rFonts w:hint="eastAsia" w:ascii="宋体" w:hAnsi="宋体"/>
                                <w:b/>
                                <w:bCs/>
                                <w:color w:val="000000"/>
                                <w:spacing w:val="10"/>
                              </w:rPr>
                              <w:t>汇率风险：人民币汇率变动等事件对本产品所投资债券等资产的估值产生不利影响，导致本产品净值增长减缓甚至出现净值下降；</w:t>
                            </w:r>
                          </w:p>
                          <w:p>
                            <w:pPr>
                              <w:numPr>
                                <w:ilvl w:val="0"/>
                                <w:numId w:val="10"/>
                              </w:numPr>
                              <w:tabs>
                                <w:tab w:val="clear" w:pos="425"/>
                              </w:tabs>
                              <w:spacing w:line="360" w:lineRule="auto"/>
                              <w:ind w:firstLine="462"/>
                              <w:rPr>
                                <w:rFonts w:ascii="宋体" w:hAnsi="宋体"/>
                                <w:b/>
                                <w:bCs/>
                                <w:color w:val="000000"/>
                                <w:spacing w:val="10"/>
                              </w:rPr>
                            </w:pPr>
                            <w:r>
                              <w:rPr>
                                <w:rFonts w:hint="eastAsia" w:ascii="宋体" w:hAnsi="宋体"/>
                                <w:b/>
                                <w:bCs/>
                                <w:color w:val="000000"/>
                                <w:spacing w:val="10"/>
                              </w:rPr>
                              <w:t>信用风险：如果本理财产品配置资产所涉及的相关债务主体到期未能履行付息、还款义务，或者在经济走差的过程中，信用类产品存在信用利差变大风险，尤其是一旦有一家信用类产品出现违约风险将对整个信用类产品产生较大负面影响，使得本理财产品配置资产面临损失，引起本产品净值增长减缓或者出现净值下降；极端情况下，当本产品所投资全部资产均出现违约事件，本产品净值将降为零；</w:t>
                            </w:r>
                          </w:p>
                          <w:p>
                            <w:pPr>
                              <w:numPr>
                                <w:ilvl w:val="0"/>
                                <w:numId w:val="10"/>
                              </w:numPr>
                              <w:tabs>
                                <w:tab w:val="clear" w:pos="425"/>
                              </w:tabs>
                              <w:spacing w:line="360" w:lineRule="auto"/>
                              <w:ind w:firstLine="462"/>
                              <w:rPr>
                                <w:rFonts w:ascii="宋体" w:hAnsi="宋体"/>
                                <w:b/>
                                <w:bCs/>
                                <w:color w:val="000000"/>
                                <w:spacing w:val="10"/>
                              </w:rPr>
                            </w:pPr>
                            <w:r>
                              <w:rPr>
                                <w:rFonts w:hint="eastAsia" w:ascii="宋体" w:hAnsi="宋体"/>
                                <w:b/>
                                <w:bCs/>
                                <w:color w:val="000000"/>
                                <w:spacing w:val="10"/>
                                <w:lang w:eastAsia="zh-CN"/>
                              </w:rPr>
                              <w:t>流动性风险：</w:t>
                            </w:r>
                            <w:r>
                              <w:rPr>
                                <w:rFonts w:hint="eastAsia" w:ascii="宋体" w:hAnsi="宋体"/>
                                <w:b/>
                                <w:bCs/>
                                <w:color w:val="000000"/>
                                <w:spacing w:val="10"/>
                              </w:rPr>
                              <w:t>如果投资者在本产品到期前产生流动性需求，可能面临资金需求日与理财资金到账日不匹配的流动性风险。</w:t>
                            </w:r>
                          </w:p>
                          <w:p>
                            <w:pPr>
                              <w:spacing w:line="360" w:lineRule="auto"/>
                              <w:ind w:firstLine="462" w:firstLineChars="200"/>
                              <w:rPr>
                                <w:rFonts w:ascii="宋体" w:hAnsi="宋体"/>
                                <w:b/>
                                <w:bCs/>
                                <w:color w:val="000000"/>
                                <w:spacing w:val="10"/>
                              </w:rPr>
                            </w:pPr>
                            <w:r>
                              <w:rPr>
                                <w:rFonts w:hint="eastAsia" w:ascii="宋体" w:hAnsi="宋体"/>
                                <w:b/>
                                <w:bCs/>
                                <w:color w:val="000000"/>
                                <w:spacing w:val="10"/>
                              </w:rPr>
                              <w:t>以上投资风险敬请投资者明晰。</w:t>
                            </w:r>
                          </w:p>
                          <w:p/>
                        </w:txbxContent>
                      </wps:txbx>
                      <wps:bodyPr upright="1"/>
                    </wps:wsp>
                  </a:graphicData>
                </a:graphic>
              </wp:anchor>
            </w:drawing>
          </mc:Choice>
          <mc:Fallback>
            <w:pict>
              <v:shape id="_x0000_s1026" o:spid="_x0000_s1026" o:spt="202" type="#_x0000_t202" style="position:absolute;left:0pt;margin-left:-11.9pt;margin-top:12.55pt;height:554.1pt;width:531.2pt;z-index:251659264;mso-width-relative:page;mso-height-relative:page;" fillcolor="#FFFFFF" filled="t" stroked="t" coordsize="21600,21600" o:gfxdata="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T2KsO2gAAAAwBAAAPAAAAAAAAAAEA&#10;IAAAACIAAABkcnMvZG93bnJldi54bWxQSwECFAAUAAAACACHTuJA56cVLw0CAAA3BAAADgAAAAAA&#10;AAABACAAAAApAQAAZHJzL2Uyb0RvYy54bWxQSwUGAAAAAAYABgBZAQAAqAUAAAAA&#10;">
                <v:fill on="t" focussize="0,0"/>
                <v:stroke color="#000000" joinstyle="miter"/>
                <v:imagedata o:title=""/>
                <o:lock v:ext="edit" aspectratio="f"/>
                <v:textbox>
                  <w:txbxContent>
                    <w:p>
                      <w:pPr>
                        <w:spacing w:line="360" w:lineRule="auto"/>
                        <w:jc w:val="center"/>
                        <w:rPr>
                          <w:rFonts w:ascii="宋体" w:hAnsi="宋体"/>
                          <w:b/>
                          <w:bCs/>
                          <w:color w:val="000000"/>
                          <w:spacing w:val="10"/>
                          <w:sz w:val="28"/>
                          <w:szCs w:val="28"/>
                        </w:rPr>
                      </w:pPr>
                      <w:r>
                        <w:rPr>
                          <w:rFonts w:hint="eastAsia" w:ascii="宋体" w:hAnsi="宋体"/>
                          <w:b/>
                          <w:bCs/>
                          <w:color w:val="000000"/>
                          <w:spacing w:val="10"/>
                          <w:sz w:val="28"/>
                          <w:szCs w:val="28"/>
                        </w:rPr>
                        <w:t>特别风险提示</w:t>
                      </w:r>
                    </w:p>
                    <w:p>
                      <w:pPr>
                        <w:numPr>
                          <w:ilvl w:val="0"/>
                          <w:numId w:val="9"/>
                        </w:numPr>
                        <w:spacing w:line="360" w:lineRule="auto"/>
                        <w:ind w:firstLine="462"/>
                        <w:rPr>
                          <w:rFonts w:ascii="宋体" w:hAnsi="宋体"/>
                          <w:b/>
                          <w:bCs/>
                          <w:color w:val="000000"/>
                          <w:spacing w:val="10"/>
                        </w:rPr>
                      </w:pPr>
                      <w:r>
                        <w:rPr>
                          <w:rFonts w:hint="eastAsia" w:ascii="宋体" w:hAnsi="宋体"/>
                          <w:b/>
                          <w:bCs/>
                          <w:color w:val="000000"/>
                          <w:spacing w:val="10"/>
                        </w:rPr>
                        <w:t>理财非存款、产品有风险、投资需谨慎。</w:t>
                      </w:r>
                    </w:p>
                    <w:p>
                      <w:pPr>
                        <w:numPr>
                          <w:ilvl w:val="0"/>
                          <w:numId w:val="9"/>
                        </w:numPr>
                        <w:spacing w:line="360" w:lineRule="auto"/>
                        <w:ind w:firstLine="462"/>
                        <w:rPr>
                          <w:rFonts w:ascii="宋体" w:hAnsi="宋体"/>
                          <w:b/>
                          <w:bCs/>
                          <w:color w:val="000000"/>
                          <w:spacing w:val="10"/>
                        </w:rPr>
                      </w:pPr>
                      <w:r>
                        <w:rPr>
                          <w:rFonts w:hint="eastAsia" w:ascii="宋体" w:hAnsi="宋体"/>
                          <w:b/>
                          <w:bCs/>
                          <w:color w:val="000000"/>
                          <w:spacing w:val="10"/>
                        </w:rPr>
                        <w:t>本产品为非保本封闭净值型理财产品，绍兴银行对本产品的本金和收益不提供保证承诺。本产品在发生不利情况下（可能但不一定发生），客户可能无法取得收益，并可能面临损失本金的风险。客户应认真阅读本产品说明书及风险揭示书的内容，基于自身的独立判断进行投资决策。</w:t>
                      </w:r>
                    </w:p>
                    <w:p>
                      <w:pPr>
                        <w:numPr>
                          <w:ilvl w:val="0"/>
                          <w:numId w:val="9"/>
                        </w:numPr>
                        <w:spacing w:line="360" w:lineRule="auto"/>
                        <w:ind w:firstLine="462"/>
                        <w:rPr>
                          <w:rFonts w:ascii="宋体" w:hAnsi="宋体"/>
                          <w:b/>
                          <w:bCs/>
                          <w:spacing w:val="10"/>
                          <w:szCs w:val="21"/>
                        </w:rPr>
                      </w:pPr>
                      <w:r>
                        <w:rPr>
                          <w:rFonts w:hint="eastAsia" w:ascii="宋体" w:hAnsi="宋体"/>
                          <w:b/>
                          <w:bCs/>
                          <w:spacing w:val="10"/>
                          <w:szCs w:val="21"/>
                        </w:rPr>
                        <w:t>本产品为固定收益类产品，产品投向为：（1）国债、地方政府债券、中央银行票据、政府支持债券、金融债券、非金融企业债务融资工具、公司债券、企业债券、信贷资产支持证券、资产支持票据、证券交易所挂牌交易的资产支持证券等；（2）存款、大额存单、同业存单、债券逆回购、同业拆借和公募证券投资基金；（3）非标准化债权资产和符合监管要求的其他资产；（4）</w:t>
                      </w:r>
                      <w:r>
                        <w:rPr>
                          <w:rFonts w:hint="eastAsia" w:ascii="宋体" w:hAnsi="宋体" w:eastAsia="宋体" w:cs="Times New Roman"/>
                          <w:b/>
                          <w:bCs/>
                          <w:spacing w:val="10"/>
                          <w:szCs w:val="21"/>
                        </w:rPr>
                        <w:t>底层资产为上述资产的、具有专业投资能力和资质的、受金融监管部门监管的金融机构发行的资产管理产品</w:t>
                      </w:r>
                      <w:r>
                        <w:rPr>
                          <w:rFonts w:hint="eastAsia" w:ascii="宋体" w:hAnsi="宋体"/>
                          <w:b/>
                          <w:bCs/>
                          <w:spacing w:val="10"/>
                          <w:szCs w:val="21"/>
                        </w:rPr>
                        <w:t>。投资上述资产将面临以下投资风险：</w:t>
                      </w:r>
                    </w:p>
                    <w:p>
                      <w:pPr>
                        <w:numPr>
                          <w:ilvl w:val="0"/>
                          <w:numId w:val="10"/>
                        </w:numPr>
                        <w:tabs>
                          <w:tab w:val="clear" w:pos="425"/>
                        </w:tabs>
                        <w:spacing w:line="360" w:lineRule="auto"/>
                        <w:ind w:firstLine="462"/>
                        <w:rPr>
                          <w:rFonts w:ascii="宋体" w:hAnsi="宋体"/>
                          <w:b/>
                          <w:bCs/>
                          <w:color w:val="000000"/>
                          <w:spacing w:val="10"/>
                        </w:rPr>
                      </w:pPr>
                      <w:r>
                        <w:rPr>
                          <w:rFonts w:hint="eastAsia" w:ascii="宋体" w:hAnsi="宋体"/>
                          <w:b/>
                          <w:bCs/>
                          <w:color w:val="000000"/>
                          <w:spacing w:val="10"/>
                        </w:rPr>
                        <w:t>利率风险：债券市场价格波动等事件对本产品所投资债券等资产的估值产生不利影响，导致本产品净值增长减缓甚至出现净值下降；</w:t>
                      </w:r>
                    </w:p>
                    <w:p>
                      <w:pPr>
                        <w:numPr>
                          <w:ilvl w:val="0"/>
                          <w:numId w:val="10"/>
                        </w:numPr>
                        <w:tabs>
                          <w:tab w:val="clear" w:pos="425"/>
                        </w:tabs>
                        <w:spacing w:line="360" w:lineRule="auto"/>
                        <w:ind w:firstLine="462"/>
                        <w:rPr>
                          <w:rFonts w:ascii="宋体" w:hAnsi="宋体"/>
                          <w:b/>
                          <w:bCs/>
                          <w:color w:val="000000"/>
                          <w:spacing w:val="10"/>
                        </w:rPr>
                      </w:pPr>
                      <w:r>
                        <w:rPr>
                          <w:rFonts w:hint="eastAsia" w:ascii="宋体" w:hAnsi="宋体"/>
                          <w:b/>
                          <w:bCs/>
                          <w:color w:val="000000"/>
                          <w:spacing w:val="10"/>
                        </w:rPr>
                        <w:t>汇率风险：人民币汇率变动等事件对本产品所投资债券等资产的估值产生不利影响，导致本产品净值增长减缓甚至出现净值下降；</w:t>
                      </w:r>
                    </w:p>
                    <w:p>
                      <w:pPr>
                        <w:numPr>
                          <w:ilvl w:val="0"/>
                          <w:numId w:val="10"/>
                        </w:numPr>
                        <w:tabs>
                          <w:tab w:val="clear" w:pos="425"/>
                        </w:tabs>
                        <w:spacing w:line="360" w:lineRule="auto"/>
                        <w:ind w:firstLine="462"/>
                        <w:rPr>
                          <w:rFonts w:ascii="宋体" w:hAnsi="宋体"/>
                          <w:b/>
                          <w:bCs/>
                          <w:color w:val="000000"/>
                          <w:spacing w:val="10"/>
                        </w:rPr>
                      </w:pPr>
                      <w:r>
                        <w:rPr>
                          <w:rFonts w:hint="eastAsia" w:ascii="宋体" w:hAnsi="宋体"/>
                          <w:b/>
                          <w:bCs/>
                          <w:color w:val="000000"/>
                          <w:spacing w:val="10"/>
                        </w:rPr>
                        <w:t>信用风险：如果本理财产品配置资产所涉及的相关债务主体到期未能履行付息、还款义务，或者在经济走差的过程中，信用类产品存在信用利差变大风险，尤其是一旦有一家信用类产品出现违约风险将对整个信用类产品产生较大负面影响，使得本理财产品配置资产面临损失，引起本产品净值增长减缓或者出现净值下降；极端情况下，当本产品所投资全部资产均出现违约事件，本产品净值将降为零；</w:t>
                      </w:r>
                    </w:p>
                    <w:p>
                      <w:pPr>
                        <w:numPr>
                          <w:ilvl w:val="0"/>
                          <w:numId w:val="10"/>
                        </w:numPr>
                        <w:tabs>
                          <w:tab w:val="clear" w:pos="425"/>
                        </w:tabs>
                        <w:spacing w:line="360" w:lineRule="auto"/>
                        <w:ind w:firstLine="462"/>
                        <w:rPr>
                          <w:rFonts w:ascii="宋体" w:hAnsi="宋体"/>
                          <w:b/>
                          <w:bCs/>
                          <w:color w:val="000000"/>
                          <w:spacing w:val="10"/>
                        </w:rPr>
                      </w:pPr>
                      <w:r>
                        <w:rPr>
                          <w:rFonts w:hint="eastAsia" w:ascii="宋体" w:hAnsi="宋体"/>
                          <w:b/>
                          <w:bCs/>
                          <w:color w:val="000000"/>
                          <w:spacing w:val="10"/>
                          <w:lang w:eastAsia="zh-CN"/>
                        </w:rPr>
                        <w:t>流动性风险：</w:t>
                      </w:r>
                      <w:r>
                        <w:rPr>
                          <w:rFonts w:hint="eastAsia" w:ascii="宋体" w:hAnsi="宋体"/>
                          <w:b/>
                          <w:bCs/>
                          <w:color w:val="000000"/>
                          <w:spacing w:val="10"/>
                        </w:rPr>
                        <w:t>如果投资者在本产品到期前产生流动性需求，可能面临资金需求日与理财资金到账日不匹配的流动性风险。</w:t>
                      </w:r>
                    </w:p>
                    <w:p>
                      <w:pPr>
                        <w:spacing w:line="360" w:lineRule="auto"/>
                        <w:ind w:firstLine="462" w:firstLineChars="200"/>
                        <w:rPr>
                          <w:rFonts w:ascii="宋体" w:hAnsi="宋体"/>
                          <w:b/>
                          <w:bCs/>
                          <w:color w:val="000000"/>
                          <w:spacing w:val="10"/>
                        </w:rPr>
                      </w:pPr>
                      <w:r>
                        <w:rPr>
                          <w:rFonts w:hint="eastAsia" w:ascii="宋体" w:hAnsi="宋体"/>
                          <w:b/>
                          <w:bCs/>
                          <w:color w:val="000000"/>
                          <w:spacing w:val="10"/>
                        </w:rPr>
                        <w:t>以上投资风险敬请投资者明晰。</w:t>
                      </w:r>
                    </w:p>
                    <w:p/>
                  </w:txbxContent>
                </v:textbox>
              </v:shape>
            </w:pict>
          </mc:Fallback>
        </mc:AlternateContent>
      </w:r>
    </w:p>
    <w:p>
      <w:pPr>
        <w:spacing w:line="360" w:lineRule="auto"/>
        <w:ind w:firstLine="462" w:firstLineChars="200"/>
        <w:rPr>
          <w:rFonts w:ascii="宋体" w:hAnsi="宋体"/>
          <w:b/>
          <w:bCs/>
          <w:color w:val="000000"/>
          <w:spacing w:val="10"/>
        </w:rPr>
      </w:pPr>
    </w:p>
    <w:p>
      <w:pPr>
        <w:spacing w:line="360" w:lineRule="auto"/>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ind w:firstLine="462" w:firstLineChars="200"/>
        <w:rPr>
          <w:rFonts w:ascii="宋体" w:hAnsi="宋体"/>
          <w:b/>
          <w:bCs/>
          <w:color w:val="000000"/>
          <w:spacing w:val="10"/>
        </w:rPr>
      </w:pPr>
    </w:p>
    <w:p>
      <w:pPr>
        <w:spacing w:line="360" w:lineRule="auto"/>
        <w:rPr>
          <w:rFonts w:ascii="宋体" w:hAnsi="宋体"/>
          <w:b/>
          <w:bCs/>
          <w:color w:val="000000"/>
          <w:spacing w:val="10"/>
        </w:rPr>
      </w:pPr>
    </w:p>
    <w:p>
      <w:pPr>
        <w:spacing w:line="360" w:lineRule="auto"/>
        <w:rPr>
          <w:rFonts w:ascii="宋体" w:hAnsi="宋体"/>
          <w:b/>
          <w:bCs/>
          <w:color w:val="000000"/>
          <w:spacing w:val="10"/>
        </w:rPr>
      </w:pPr>
    </w:p>
    <w:p>
      <w:pPr>
        <w:spacing w:line="360" w:lineRule="auto"/>
        <w:rPr>
          <w:rFonts w:ascii="宋体" w:hAnsi="宋体"/>
          <w:b/>
          <w:bCs/>
          <w:color w:val="000000"/>
          <w:spacing w:val="10"/>
        </w:rPr>
      </w:pPr>
    </w:p>
    <w:p>
      <w:pPr>
        <w:spacing w:line="360" w:lineRule="auto"/>
        <w:rPr>
          <w:rFonts w:ascii="宋体" w:hAnsi="宋体"/>
          <w:b/>
          <w:bCs/>
          <w:color w:val="000000"/>
          <w:spacing w:val="10"/>
        </w:rPr>
      </w:pPr>
    </w:p>
    <w:p>
      <w:pPr>
        <w:spacing w:line="360" w:lineRule="auto"/>
        <w:rPr>
          <w:rFonts w:ascii="宋体" w:hAnsi="宋体"/>
          <w:b/>
          <w:bCs/>
          <w:color w:val="000000"/>
          <w:spacing w:val="10"/>
        </w:rPr>
      </w:pPr>
    </w:p>
    <w:p>
      <w:pPr>
        <w:spacing w:line="360" w:lineRule="auto"/>
        <w:rPr>
          <w:rFonts w:ascii="宋体" w:hAnsi="宋体"/>
          <w:b/>
          <w:bCs/>
          <w:color w:val="000000"/>
          <w:spacing w:val="10"/>
        </w:rPr>
      </w:pPr>
    </w:p>
    <w:p>
      <w:pPr>
        <w:spacing w:line="360" w:lineRule="auto"/>
        <w:rPr>
          <w:rFonts w:ascii="宋体" w:hAnsi="宋体"/>
          <w:b/>
          <w:bCs/>
          <w:color w:val="000000"/>
          <w:spacing w:val="10"/>
        </w:rPr>
      </w:pPr>
    </w:p>
    <w:p>
      <w:pPr>
        <w:spacing w:line="360" w:lineRule="auto"/>
        <w:rPr>
          <w:rFonts w:ascii="宋体" w:hAnsi="宋体"/>
          <w:b/>
          <w:bCs/>
          <w:color w:val="000000"/>
          <w:spacing w:val="10"/>
        </w:rPr>
      </w:pPr>
    </w:p>
    <w:p>
      <w:pPr>
        <w:numPr>
          <w:ilvl w:val="0"/>
          <w:numId w:val="11"/>
        </w:numPr>
        <w:spacing w:line="360" w:lineRule="auto"/>
        <w:ind w:firstLine="462" w:firstLineChars="200"/>
        <w:rPr>
          <w:rFonts w:ascii="宋体" w:hAnsi="宋体"/>
          <w:b/>
          <w:bCs/>
          <w:color w:val="000000"/>
          <w:spacing w:val="10"/>
        </w:rPr>
      </w:pPr>
      <w:r>
        <w:rPr>
          <w:rFonts w:hint="eastAsia" w:ascii="宋体" w:hAnsi="宋体"/>
          <w:b/>
          <w:bCs/>
          <w:color w:val="000000"/>
          <w:spacing w:val="10"/>
        </w:rPr>
        <w:t>产品要素</w:t>
      </w:r>
    </w:p>
    <w:tbl>
      <w:tblPr>
        <w:tblStyle w:val="13"/>
        <w:tblW w:w="113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1"/>
        <w:gridCol w:w="9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产品名称</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ascii="Calibri" w:hAnsi="Calibri" w:eastAsia="仿宋" w:cs="Calibri"/>
                <w:color w:val="000000"/>
                <w:szCs w:val="21"/>
              </w:rPr>
              <w:t>金兰花汇富4号2535期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产品代码</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ascii="Calibri" w:hAnsi="Calibri" w:eastAsia="仿宋" w:cs="Calibri"/>
                <w:color w:val="000000"/>
                <w:szCs w:val="21"/>
              </w:rPr>
              <w:t>HF042535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产品类型</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000000"/>
                <w:szCs w:val="21"/>
              </w:rPr>
            </w:pPr>
            <w:r>
              <w:rPr>
                <w:rFonts w:hint="eastAsia" w:ascii="仿宋" w:hAnsi="仿宋" w:eastAsia="仿宋" w:cs="仿宋"/>
                <w:bCs/>
                <w:color w:val="000000"/>
                <w:szCs w:val="21"/>
              </w:rPr>
              <w:t>非保本封闭净值型（固定收益类公募产品）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产品管理人</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000000"/>
                <w:szCs w:val="21"/>
              </w:rPr>
            </w:pPr>
            <w:r>
              <w:rPr>
                <w:rFonts w:hint="eastAsia" w:ascii="仿宋" w:hAnsi="仿宋" w:eastAsia="仿宋" w:cs="仿宋"/>
                <w:bCs/>
                <w:color w:val="000000"/>
                <w:szCs w:val="21"/>
              </w:rPr>
              <w:t>绍兴银行股份有限公司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产品托管人</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000000"/>
                <w:szCs w:val="21"/>
              </w:rPr>
            </w:pPr>
            <w:r>
              <w:rPr>
                <w:rFonts w:hint="eastAsia" w:ascii="仿宋" w:hAnsi="仿宋" w:eastAsia="仿宋" w:cs="仿宋"/>
                <w:bCs/>
                <w:color w:val="000000"/>
                <w:szCs w:val="21"/>
              </w:rPr>
              <w:t>招商银行股份有限公司杭州分行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产品登记编码</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000000"/>
                <w:szCs w:val="21"/>
              </w:rPr>
            </w:pPr>
            <w:r>
              <w:rPr>
                <w:rFonts w:ascii="Calibri" w:hAnsi="Calibri" w:eastAsia="仿宋" w:cs="Calibri"/>
                <w:b/>
                <w:color w:val="000000"/>
                <w:szCs w:val="21"/>
              </w:rPr>
              <w:t>C1092525000092</w:t>
            </w:r>
            <w:r>
              <w:rPr>
                <w:rFonts w:hint="eastAsia" w:ascii="仿宋" w:hAnsi="仿宋" w:eastAsia="仿宋" w:cs="仿宋"/>
                <w:b/>
                <w:color w:val="000000"/>
                <w:szCs w:val="21"/>
              </w:rPr>
              <w:t>（客户可依据该登记编码在中国理财网（www.chinawealth.com.cn)上查询本产品信息）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内部风险评级</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000000"/>
                <w:szCs w:val="21"/>
              </w:rPr>
            </w:pPr>
            <w:r>
              <w:rPr>
                <w:rFonts w:hint="eastAsia" w:ascii="仿宋" w:hAnsi="仿宋" w:eastAsia="仿宋" w:cs="仿宋"/>
                <w:bCs/>
                <w:color w:val="000000"/>
                <w:szCs w:val="21"/>
              </w:rPr>
              <w:t>根据绍兴银行内部风险评估，本产品属于【□R1、■R2、□R3、□R4、□R5】理财产品，</w:t>
            </w:r>
            <w:r>
              <w:rPr>
                <w:rFonts w:hint="eastAsia" w:ascii="仿宋" w:hAnsi="仿宋" w:eastAsia="仿宋" w:cs="仿宋"/>
                <w:color w:val="000000"/>
                <w:szCs w:val="21"/>
              </w:rPr>
              <w:t>（本风险等级为我</w:t>
            </w:r>
            <w:r>
              <w:rPr>
                <w:rFonts w:hint="eastAsia" w:ascii="仿宋" w:hAnsi="仿宋" w:eastAsia="仿宋" w:cs="仿宋"/>
                <w:bCs/>
                <w:color w:val="000000"/>
                <w:szCs w:val="21"/>
              </w:rPr>
              <w:t>行内部风险评估结果，仅供参考，我行不对前述风险评估结果的准确性做出任何形式的保证，也不承担任何法律责任）。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适合客户类型</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000000"/>
                <w:szCs w:val="21"/>
              </w:rPr>
            </w:pPr>
            <w:r>
              <w:rPr>
                <w:rFonts w:hint="eastAsia" w:ascii="仿宋" w:hAnsi="仿宋" w:eastAsia="仿宋" w:cs="仿宋"/>
                <w:bCs/>
                <w:color w:val="000000"/>
                <w:szCs w:val="21"/>
              </w:rPr>
              <w:t>经绍兴银行内部风险评估，本产品适合【□C1、■C2、■C3、■C4、■C5】的个人客户以及依据中华人民共和国有关法律法规及其他有关规定可以购买本理财产品的其它合格投资者。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销售区域</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000000"/>
                <w:szCs w:val="21"/>
              </w:rPr>
            </w:pPr>
            <w:r>
              <w:rPr>
                <w:rFonts w:hint="eastAsia" w:ascii="仿宋" w:hAnsi="仿宋" w:eastAsia="仿宋" w:cs="仿宋"/>
                <w:bCs/>
                <w:color w:val="000000"/>
                <w:szCs w:val="21"/>
              </w:rPr>
              <w:t>浙江省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理财币种</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000000"/>
                <w:szCs w:val="21"/>
              </w:rPr>
            </w:pPr>
            <w:r>
              <w:rPr>
                <w:rFonts w:hint="eastAsia" w:ascii="仿宋" w:hAnsi="仿宋" w:eastAsia="仿宋" w:cs="仿宋"/>
                <w:bCs/>
                <w:color w:val="000000"/>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工作日</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000000"/>
                <w:szCs w:val="21"/>
              </w:rPr>
            </w:pPr>
            <w:r>
              <w:rPr>
                <w:rFonts w:hint="eastAsia" w:ascii="仿宋" w:hAnsi="仿宋" w:eastAsia="仿宋" w:cs="仿宋"/>
                <w:bCs/>
                <w:color w:val="000000"/>
                <w:szCs w:val="21"/>
              </w:rPr>
              <w:t>国家法定工作日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产品认购期</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ascii="Calibri" w:hAnsi="Calibri" w:eastAsia="仿宋" w:cs="Calibri"/>
                <w:bCs/>
                <w:color w:val="000000"/>
                <w:szCs w:val="21"/>
              </w:rPr>
              <w:t>2025年9月10日</w:t>
            </w:r>
            <w:r>
              <w:rPr>
                <w:rFonts w:hint="eastAsia" w:ascii="仿宋" w:hAnsi="仿宋" w:eastAsia="仿宋" w:cs="仿宋"/>
                <w:bCs/>
                <w:color w:val="000000"/>
                <w:szCs w:val="21"/>
              </w:rPr>
              <w:t>-</w:t>
            </w:r>
            <w:r>
              <w:rPr>
                <w:rFonts w:ascii="Calibri" w:hAnsi="Calibri" w:eastAsia="仿宋" w:cs="Calibri"/>
                <w:bCs/>
                <w:color w:val="000000"/>
                <w:szCs w:val="21"/>
              </w:rPr>
              <w:t>2025年9月16日</w:t>
            </w:r>
            <w:r>
              <w:rPr>
                <w:rFonts w:hint="eastAsia" w:ascii="仿宋" w:hAnsi="仿宋" w:eastAsia="仿宋" w:cs="仿宋"/>
                <w:bCs/>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产品认购时间</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认购起始日08:00至认购结束日16:00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产品成立日</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ascii="Calibri" w:hAnsi="Calibri" w:eastAsia="仿宋" w:cs="Calibri"/>
                <w:color w:val="000000"/>
                <w:szCs w:val="21"/>
              </w:rPr>
              <w:t>2025年9月17日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产品到期日</w:t>
            </w:r>
          </w:p>
        </w:tc>
        <w:tc>
          <w:tcPr>
            <w:tcW w:w="95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ascii="Calibri" w:hAnsi="Calibri" w:eastAsia="仿宋" w:cs="Calibri"/>
                <w:color w:val="000000"/>
                <w:szCs w:val="21"/>
              </w:rPr>
              <w:t>2026年1月14日</w:t>
            </w:r>
            <w:r>
              <w:rPr>
                <w:rFonts w:hint="eastAsia" w:ascii="仿宋" w:hAnsi="仿宋" w:eastAsia="仿宋" w:cs="仿宋"/>
                <w:color w:val="000000"/>
                <w:szCs w:val="21"/>
              </w:rPr>
              <w:t>，遇节假日顺延至下一工作日。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产品期限</w:t>
            </w:r>
          </w:p>
        </w:tc>
        <w:tc>
          <w:tcPr>
            <w:tcW w:w="95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ascii="Calibri" w:hAnsi="Calibri" w:eastAsia="仿宋" w:cs="Calibri"/>
                <w:color w:val="000000"/>
                <w:szCs w:val="21"/>
              </w:rPr>
              <w:t>119</w:t>
            </w:r>
            <w:r>
              <w:rPr>
                <w:rFonts w:hint="eastAsia" w:ascii="仿宋" w:hAnsi="仿宋" w:eastAsia="仿宋" w:cs="仿宋"/>
                <w:color w:val="000000"/>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资金到帐日</w:t>
            </w:r>
          </w:p>
        </w:tc>
        <w:tc>
          <w:tcPr>
            <w:tcW w:w="95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Cs w:val="21"/>
              </w:rPr>
            </w:pPr>
            <w:r>
              <w:rPr>
                <w:rFonts w:hint="eastAsia" w:ascii="仿宋" w:hAnsi="仿宋" w:eastAsia="仿宋" w:cs="仿宋"/>
                <w:color w:val="000000"/>
                <w:szCs w:val="21"/>
              </w:rPr>
              <w:t>在理财产品到期后2个工作日内，银行一次性将理财资金划入投资者指定账户。到期清算期间，理财资金不计息。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业绩比较基准</w:t>
            </w:r>
          </w:p>
        </w:tc>
        <w:tc>
          <w:tcPr>
            <w:tcW w:w="95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color w:val="000000"/>
                <w:szCs w:val="21"/>
              </w:rPr>
            </w:pPr>
            <w:r>
              <w:rPr>
                <w:rFonts w:hint="eastAsia" w:ascii="仿宋" w:hAnsi="仿宋" w:eastAsia="仿宋" w:cs="仿宋"/>
                <w:color w:val="000000"/>
                <w:szCs w:val="21"/>
              </w:rPr>
              <w:t>1.7%</w:t>
            </w:r>
            <w:r>
              <w:rPr>
                <w:rFonts w:hint="eastAsia" w:ascii="仿宋" w:hAnsi="仿宋" w:eastAsia="仿宋" w:cs="仿宋"/>
                <w:color w:val="000000"/>
                <w:szCs w:val="21"/>
                <w:lang w:val="en-US" w:eastAsia="zh-CN"/>
              </w:rPr>
              <w:t>-1.9%</w:t>
            </w:r>
            <w:r>
              <w:rPr>
                <w:rFonts w:hint="eastAsia" w:ascii="仿宋" w:hAnsi="仿宋" w:eastAsia="仿宋" w:cs="仿宋"/>
                <w:b/>
                <w:color w:val="000000"/>
                <w:szCs w:val="21"/>
              </w:rPr>
              <w:t>（业绩比较基准</w:t>
            </w:r>
            <w:r>
              <w:rPr>
                <w:rFonts w:hint="eastAsia" w:ascii="仿宋" w:hAnsi="仿宋" w:eastAsia="仿宋" w:cs="仿宋"/>
                <w:b/>
                <w:color w:val="000000"/>
                <w:szCs w:val="21"/>
                <w:lang w:val="en-US" w:eastAsia="zh-CN"/>
              </w:rPr>
              <w:t>区间是根据产品说明书约定投资范围内各类资产的收益率水平、投资比列和市场情况进行静态测算和情景分析确定。业绩比较基准</w:t>
            </w:r>
            <w:r>
              <w:rPr>
                <w:rFonts w:hint="eastAsia" w:ascii="仿宋" w:hAnsi="仿宋" w:eastAsia="仿宋" w:cs="仿宋"/>
                <w:b/>
                <w:color w:val="000000"/>
                <w:szCs w:val="21"/>
              </w:rPr>
              <w:t>不代表理财产品未来表现，不等于理财产品实际收益，不作为产品收益的业绩保证，投资须谨慎。）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发行规模</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发行规模不低于100万元，不超过5亿元。绍兴银行有权根据实际需要调整产品规模，产品最终规模以银行实际募集规模为准。若产品实际募集规模低于100万元，则绍兴银行可宣布本产品不成立并在原定产品成立日后2个工作日内在绍兴银行网站（www.sxccb.com）发布产品不成立信息，客户认购资金将在原定产品成立日后2个工作日内划转至客户指定理财账户，客户理财资金在原定产品成立日至资金到帐日之间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771"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认购金额</w:t>
            </w:r>
          </w:p>
        </w:tc>
        <w:tc>
          <w:tcPr>
            <w:tcW w:w="9568" w:type="dxa"/>
            <w:tcBorders>
              <w:top w:val="single" w:color="auto" w:sz="4" w:space="0"/>
              <w:left w:val="single" w:color="auto" w:sz="4" w:space="0"/>
              <w:bottom w:val="single" w:color="auto" w:sz="4" w:space="0"/>
              <w:right w:val="single" w:color="auto" w:sz="4" w:space="0"/>
            </w:tcBorders>
            <w:vAlign w:val="center"/>
          </w:tcPr>
          <w:p>
            <w:pPr>
              <w:numPr>
                <w:ilvl w:val="0"/>
                <w:numId w:val="12"/>
              </w:numPr>
              <w:rPr>
                <w:rFonts w:ascii="仿宋" w:hAnsi="仿宋" w:eastAsia="仿宋" w:cs="仿宋"/>
                <w:color w:val="000000"/>
                <w:szCs w:val="21"/>
              </w:rPr>
            </w:pPr>
            <w:r>
              <w:rPr>
                <w:rFonts w:hint="eastAsia" w:ascii="仿宋" w:hAnsi="仿宋" w:eastAsia="仿宋" w:cs="仿宋"/>
                <w:color w:val="000000"/>
                <w:szCs w:val="21"/>
              </w:rPr>
              <w:t>单个客户认购起点金额为1万元，以1000元的整数倍递增（投资者不得使用贷款、发行债券等筹集的非自有资金投资本产品）；</w:t>
            </w:r>
          </w:p>
          <w:p>
            <w:pPr>
              <w:numPr>
                <w:ilvl w:val="0"/>
                <w:numId w:val="12"/>
              </w:numPr>
              <w:rPr>
                <w:rFonts w:ascii="仿宋" w:hAnsi="仿宋" w:eastAsia="仿宋" w:cs="仿宋"/>
                <w:color w:val="000000"/>
                <w:szCs w:val="21"/>
              </w:rPr>
            </w:pPr>
            <w:r>
              <w:rPr>
                <w:rFonts w:hint="eastAsia" w:ascii="仿宋" w:hAnsi="仿宋" w:eastAsia="仿宋" w:cs="仿宋"/>
                <w:color w:val="000000"/>
                <w:szCs w:val="21"/>
              </w:rPr>
              <w:t>单个客户认购金额上限为</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000万元</w:t>
            </w:r>
            <w:r>
              <w:rPr>
                <w:rFonts w:hint="eastAsia" w:ascii="仿宋" w:hAnsi="仿宋" w:eastAsia="仿宋" w:cs="仿宋"/>
                <w:color w:val="000000"/>
                <w:szCs w:val="21"/>
                <w:lang w:eastAsia="zh-CN"/>
              </w:rPr>
              <w:t>，且不超过产品总额的</w:t>
            </w:r>
            <w:r>
              <w:rPr>
                <w:rFonts w:hint="eastAsia" w:ascii="仿宋" w:hAnsi="仿宋" w:eastAsia="仿宋" w:cs="仿宋"/>
                <w:color w:val="000000"/>
                <w:szCs w:val="21"/>
                <w:lang w:val="en-US" w:eastAsia="zh-CN"/>
              </w:rPr>
              <w:t>50%</w:t>
            </w: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产品相关费用</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包括固定管理费、超额业绩报酬、托管费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固定管理费率</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0.6%，后续如有调整以我行公告为准。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托管费率</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0.002%，后续如有调整以我行公告为准。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超额业绩报酬</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若本产品资产投资组合总值在扣除固定管理费、托管费及产品相关税费后，产品份额净值折算的年化收益率超过本产品业绩比较基准</w:t>
            </w:r>
            <w:r>
              <w:rPr>
                <w:rFonts w:hint="eastAsia" w:ascii="仿宋" w:hAnsi="仿宋" w:eastAsia="仿宋" w:cs="仿宋"/>
                <w:color w:val="000000"/>
                <w:szCs w:val="21"/>
                <w:lang w:eastAsia="zh-CN"/>
              </w:rPr>
              <w:t>下限</w:t>
            </w:r>
            <w:r>
              <w:rPr>
                <w:rFonts w:hint="eastAsia" w:ascii="仿宋" w:hAnsi="仿宋" w:eastAsia="仿宋" w:cs="仿宋"/>
                <w:color w:val="000000"/>
                <w:szCs w:val="21"/>
              </w:rPr>
              <w:t>，则超过部分的5%归投资者所有，95%作为绍兴银行超额业绩报酬。后续如有调整以我行公告为准。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产品单位净值</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产品单位净值为提取相关费用后的单位产品份额净值，单位净值=估值日理财产品总净值/产品总份额，其中理财产品总净值=理财产品所投资资产总值-负债总值。单位净值按截位法保留小数点后8位。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净值披露</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本产品首次净值披露日为</w:t>
            </w:r>
            <w:r>
              <w:rPr>
                <w:rFonts w:ascii="Calibri" w:hAnsi="Calibri" w:eastAsia="仿宋" w:cs="Calibri"/>
                <w:color w:val="000000"/>
                <w:szCs w:val="21"/>
              </w:rPr>
              <w:t>2025年9月26日</w:t>
            </w:r>
            <w:r>
              <w:rPr>
                <w:rFonts w:hint="eastAsia" w:ascii="仿宋" w:hAnsi="仿宋" w:eastAsia="仿宋" w:cs="仿宋"/>
                <w:color w:val="000000"/>
                <w:szCs w:val="21"/>
              </w:rPr>
              <w:t>，自首次净值披露日起按周披露产品净值。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是否可转让</w:t>
            </w:r>
          </w:p>
        </w:tc>
        <w:tc>
          <w:tcPr>
            <w:tcW w:w="9568" w:type="dxa"/>
            <w:tcBorders>
              <w:top w:val="single" w:color="auto" w:sz="4" w:space="0"/>
              <w:left w:val="single" w:color="auto" w:sz="4" w:space="0"/>
              <w:bottom w:val="single" w:color="auto" w:sz="4" w:space="0"/>
              <w:right w:val="single" w:color="auto" w:sz="4" w:space="0"/>
            </w:tcBorders>
            <w:vAlign w:val="center"/>
          </w:tcPr>
          <w:p>
            <w:pPr>
              <w:tabs>
                <w:tab w:val="left" w:pos="0"/>
              </w:tabs>
              <w:jc w:val="left"/>
              <w:rPr>
                <w:rFonts w:ascii="仿宋" w:hAnsi="仿宋" w:eastAsia="仿宋" w:cs="仿宋"/>
                <w:color w:val="000000"/>
                <w:szCs w:val="21"/>
              </w:rPr>
            </w:pPr>
            <w:r>
              <w:rPr>
                <w:rFonts w:hint="eastAsia" w:ascii="仿宋" w:hAnsi="仿宋" w:eastAsia="仿宋" w:cs="仿宋"/>
                <w:color w:val="000000"/>
                <w:szCs w:val="21"/>
              </w:rPr>
              <w:t>本产品不支持转让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是否可质押</w:t>
            </w:r>
          </w:p>
        </w:tc>
        <w:tc>
          <w:tcPr>
            <w:tcW w:w="9568" w:type="dxa"/>
            <w:tcBorders>
              <w:top w:val="single" w:color="auto" w:sz="4" w:space="0"/>
              <w:left w:val="single" w:color="auto" w:sz="4" w:space="0"/>
              <w:bottom w:val="single" w:color="auto" w:sz="4" w:space="0"/>
              <w:right w:val="single" w:color="auto" w:sz="4" w:space="0"/>
            </w:tcBorders>
            <w:vAlign w:val="center"/>
          </w:tcPr>
          <w:p>
            <w:pPr>
              <w:tabs>
                <w:tab w:val="left" w:pos="0"/>
              </w:tabs>
              <w:jc w:val="left"/>
              <w:rPr>
                <w:rFonts w:ascii="仿宋" w:hAnsi="仿宋" w:eastAsia="仿宋" w:cs="仿宋"/>
                <w:color w:val="000000"/>
                <w:szCs w:val="21"/>
              </w:rPr>
            </w:pPr>
            <w:r>
              <w:rPr>
                <w:rFonts w:hint="eastAsia" w:ascii="仿宋" w:hAnsi="仿宋" w:eastAsia="仿宋" w:cs="仿宋"/>
                <w:color w:val="000000"/>
                <w:szCs w:val="21"/>
              </w:rPr>
              <w:t>本产品不支持质押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提前终止权</w:t>
            </w:r>
          </w:p>
        </w:tc>
        <w:tc>
          <w:tcPr>
            <w:tcW w:w="9568" w:type="dxa"/>
            <w:tcBorders>
              <w:top w:val="single" w:color="auto" w:sz="4" w:space="0"/>
              <w:left w:val="single" w:color="auto" w:sz="4" w:space="0"/>
              <w:bottom w:val="single" w:color="auto" w:sz="4" w:space="0"/>
              <w:right w:val="single" w:color="auto" w:sz="4" w:space="0"/>
            </w:tcBorders>
            <w:vAlign w:val="center"/>
          </w:tcPr>
          <w:p>
            <w:pPr>
              <w:numPr>
                <w:ilvl w:val="0"/>
                <w:numId w:val="13"/>
              </w:numPr>
              <w:jc w:val="left"/>
              <w:rPr>
                <w:rFonts w:ascii="仿宋" w:hAnsi="仿宋" w:eastAsia="仿宋" w:cs="仿宋"/>
                <w:b/>
                <w:bCs/>
                <w:color w:val="000000"/>
                <w:szCs w:val="21"/>
              </w:rPr>
            </w:pPr>
            <w:r>
              <w:rPr>
                <w:rFonts w:hint="eastAsia" w:ascii="仿宋" w:hAnsi="仿宋" w:eastAsia="仿宋" w:cs="仿宋"/>
                <w:b/>
                <w:bCs/>
                <w:color w:val="000000"/>
                <w:szCs w:val="21"/>
              </w:rPr>
              <w:t>客户无权提前终止该产品；</w:t>
            </w:r>
          </w:p>
          <w:p>
            <w:pPr>
              <w:numPr>
                <w:ilvl w:val="0"/>
                <w:numId w:val="13"/>
              </w:numPr>
              <w:jc w:val="left"/>
              <w:rPr>
                <w:rFonts w:ascii="仿宋" w:hAnsi="仿宋" w:eastAsia="仿宋" w:cs="仿宋"/>
                <w:color w:val="000000"/>
                <w:szCs w:val="21"/>
              </w:rPr>
            </w:pPr>
            <w:r>
              <w:rPr>
                <w:rFonts w:hint="eastAsia" w:ascii="仿宋" w:hAnsi="仿宋" w:eastAsia="仿宋" w:cs="仿宋"/>
                <w:color w:val="000000"/>
                <w:szCs w:val="21"/>
              </w:rPr>
              <w:t>当出现本产品说明书中的“提前终止”情形，绍兴银行有权提前终止本产品；</w:t>
            </w:r>
          </w:p>
          <w:p>
            <w:pPr>
              <w:numPr>
                <w:ilvl w:val="0"/>
                <w:numId w:val="13"/>
              </w:numPr>
              <w:jc w:val="left"/>
              <w:rPr>
                <w:rFonts w:ascii="仿宋" w:hAnsi="仿宋" w:eastAsia="仿宋" w:cs="仿宋"/>
                <w:color w:val="000000"/>
                <w:szCs w:val="21"/>
              </w:rPr>
            </w:pPr>
            <w:r>
              <w:rPr>
                <w:rFonts w:hint="eastAsia" w:ascii="仿宋" w:hAnsi="仿宋" w:eastAsia="仿宋" w:cs="仿宋"/>
                <w:color w:val="000000"/>
                <w:szCs w:val="21"/>
              </w:rPr>
              <w:t>如果绍兴银行提前终止本产品，绍兴银行将提前2个工作日通过绍兴银行网站公布提前终止日并指定资金支付日。绍兴银行应将客户理财资金于指定的资金支付日（遇节假日顺延）内划转至客户指定账户；</w:t>
            </w:r>
          </w:p>
          <w:p>
            <w:pPr>
              <w:numPr>
                <w:ilvl w:val="0"/>
                <w:numId w:val="13"/>
              </w:numPr>
              <w:jc w:val="left"/>
              <w:rPr>
                <w:rFonts w:ascii="仿宋" w:hAnsi="仿宋" w:eastAsia="仿宋" w:cs="仿宋"/>
                <w:color w:val="000000"/>
                <w:szCs w:val="21"/>
              </w:rPr>
            </w:pPr>
            <w:r>
              <w:rPr>
                <w:rFonts w:hint="eastAsia" w:ascii="仿宋" w:hAnsi="仿宋" w:eastAsia="仿宋" w:cs="仿宋"/>
                <w:color w:val="000000"/>
                <w:szCs w:val="21"/>
              </w:rPr>
              <w:t>理财产品提前终止日至理财资金支付日之间资金不计付利息。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税款规定</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除法律法规特别要求外，投资者应缴纳的税收由投资者自行缴纳，产品管理人不承担代扣代缴或纳税义务。根据财政部、国家税务总局相关税收监管政策的规定，理财产品运营过程中发生的增值税应税行为，以管理人为增值税纳税人，计算并缴纳增值税及附加税费。绍兴银行作为理财产品投资管理人，将按照相关规定计算应缴纳的税费，并从理财产品财产中支付。后续国家法律法规如对相关税收政策进行调整，绍兴银行有权根据税收政策相应调整理财产品运营过程中发生的税费承担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6"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投资范围</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1.国债、地方政府债券、中央银行票据、政府支持债券、金融债券、非金融企业债务融资工具、公司债券、企业债券、信贷资产支持证券、资产支持票据、证券交易所挂牌交易的资产支持证券等；</w:t>
            </w:r>
          </w:p>
          <w:p>
            <w:pPr>
              <w:rPr>
                <w:rFonts w:ascii="仿宋" w:hAnsi="仿宋" w:eastAsia="仿宋" w:cs="仿宋"/>
                <w:color w:val="000000"/>
                <w:szCs w:val="21"/>
              </w:rPr>
            </w:pPr>
            <w:r>
              <w:rPr>
                <w:rFonts w:hint="eastAsia" w:ascii="仿宋" w:hAnsi="仿宋" w:eastAsia="仿宋" w:cs="仿宋"/>
                <w:color w:val="000000"/>
                <w:szCs w:val="21"/>
              </w:rPr>
              <w:t>2.存款、大额存单、同业存单、债券逆回购、同业拆借和公募证券投资基金；</w:t>
            </w:r>
          </w:p>
          <w:p>
            <w:pPr>
              <w:rPr>
                <w:rFonts w:ascii="仿宋" w:hAnsi="仿宋" w:eastAsia="仿宋" w:cs="仿宋"/>
                <w:color w:val="000000"/>
                <w:szCs w:val="21"/>
              </w:rPr>
            </w:pPr>
            <w:r>
              <w:rPr>
                <w:rFonts w:hint="eastAsia" w:ascii="仿宋" w:hAnsi="仿宋" w:eastAsia="仿宋" w:cs="仿宋"/>
                <w:color w:val="000000"/>
                <w:szCs w:val="21"/>
              </w:rPr>
              <w:t>3.非标准化债权资产和符合监管要求的其他资产；</w:t>
            </w:r>
          </w:p>
          <w:p>
            <w:pPr>
              <w:rPr>
                <w:rFonts w:ascii="仿宋" w:hAnsi="仿宋" w:eastAsia="仿宋" w:cs="仿宋"/>
                <w:color w:val="000000"/>
                <w:szCs w:val="21"/>
              </w:rPr>
            </w:pPr>
            <w:r>
              <w:rPr>
                <w:rFonts w:hint="eastAsia" w:ascii="仿宋" w:hAnsi="仿宋" w:eastAsia="仿宋" w:cs="仿宋"/>
                <w:color w:val="000000"/>
                <w:szCs w:val="21"/>
              </w:rPr>
              <w:t>4.底层资产为上述资产的、具有专业投资能力和资质的、受金融监管部门监管的金融机构发行的资产管理产品。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4"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投资比例</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本产品投向债券等固定收益类金融工具的比例：80%-100%；投向权益型、混合型公募证券投资基金等非固定收益类资产的比例：0-20%；</w:t>
            </w:r>
          </w:p>
          <w:p>
            <w:pPr>
              <w:rPr>
                <w:rFonts w:ascii="仿宋" w:hAnsi="仿宋" w:eastAsia="仿宋" w:cs="仿宋"/>
                <w:color w:val="000000"/>
                <w:szCs w:val="21"/>
              </w:rPr>
            </w:pPr>
            <w:r>
              <w:rPr>
                <w:rFonts w:hint="eastAsia" w:ascii="仿宋" w:hAnsi="仿宋" w:eastAsia="仿宋" w:cs="仿宋"/>
                <w:color w:val="000000"/>
                <w:szCs w:val="21"/>
              </w:rPr>
              <w:t>本产品的杠杆率不超过200%；</w:t>
            </w:r>
          </w:p>
          <w:p>
            <w:pPr>
              <w:rPr>
                <w:rFonts w:ascii="仿宋" w:hAnsi="仿宋" w:eastAsia="仿宋" w:cs="仿宋"/>
                <w:color w:val="000000"/>
                <w:szCs w:val="21"/>
              </w:rPr>
            </w:pPr>
            <w:r>
              <w:rPr>
                <w:rFonts w:hint="eastAsia" w:ascii="仿宋" w:hAnsi="仿宋" w:eastAsia="仿宋" w:cs="仿宋"/>
                <w:color w:val="000000"/>
                <w:szCs w:val="21"/>
              </w:rPr>
              <w:t>绍兴银行确保在本产品存续期间资产投资比例和杠杆在上述范围内合理浮动，若因金融市场发生重大变化导致本产品投资比例暂时超出上述浮动区间且可能对本产品收益产生重大影响的，绍兴银行将在2个工作日内通过绍兴银行官网（www.sxccb.com)向投资者进行信息披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4"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投资合作机构</w:t>
            </w:r>
          </w:p>
        </w:tc>
        <w:tc>
          <w:tcPr>
            <w:tcW w:w="95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投资合作机构包括但不限于理财产品所投资资产管理产品的发行机构、根据合同约定从事理财产品受托投资的机构以及与理财产品投资管理相关的投资顾问等。投资合作机构的主要职责是进行受托资金的投资管理，根据合同约定从事受托投资或提供投资顾问等服务，具体职责以产品管理人与投资合作机构签署的合同为准。</w:t>
            </w:r>
          </w:p>
          <w:p>
            <w:pPr>
              <w:rPr>
                <w:rFonts w:ascii="仿宋" w:hAnsi="仿宋" w:eastAsia="仿宋" w:cs="仿宋"/>
                <w:color w:val="000000"/>
                <w:szCs w:val="21"/>
              </w:rPr>
            </w:pPr>
            <w:r>
              <w:rPr>
                <w:rFonts w:hint="eastAsia" w:ascii="仿宋" w:hAnsi="仿宋" w:eastAsia="仿宋" w:cs="仿宋"/>
                <w:color w:val="000000"/>
                <w:szCs w:val="21"/>
              </w:rPr>
              <w:t>本理财产品投资合作机构可能包括但不限于中信证券</w:t>
            </w:r>
            <w:r>
              <w:rPr>
                <w:rFonts w:hint="eastAsia" w:ascii="仿宋" w:hAnsi="仿宋" w:eastAsia="仿宋" w:cs="仿宋"/>
                <w:color w:val="000000"/>
                <w:szCs w:val="21"/>
                <w:lang w:eastAsia="zh-CN"/>
              </w:rPr>
              <w:t>资产管理</w:t>
            </w:r>
            <w:r>
              <w:rPr>
                <w:rFonts w:hint="eastAsia" w:ascii="仿宋" w:hAnsi="仿宋" w:eastAsia="仿宋" w:cs="仿宋"/>
                <w:color w:val="000000"/>
                <w:szCs w:val="21"/>
              </w:rPr>
              <w:t>有限公司、国信证券股份有限公司、上海国泰君安证券资产管理有限公司、德邦证券股份有限公司等。后续新增投资合作机构时，管理人将对合作机构的资质条件、专业服务能力和风险管理水平等进行充分评价，切实履行投资管理职责。</w:t>
            </w:r>
          </w:p>
        </w:tc>
      </w:tr>
    </w:tbl>
    <w:p>
      <w:pPr>
        <w:numPr>
          <w:ilvl w:val="0"/>
          <w:numId w:val="11"/>
        </w:numPr>
        <w:spacing w:line="360" w:lineRule="auto"/>
        <w:ind w:firstLine="462" w:firstLineChars="200"/>
        <w:rPr>
          <w:rFonts w:ascii="宋体"/>
          <w:b/>
          <w:bCs/>
          <w:color w:val="000000"/>
          <w:spacing w:val="10"/>
        </w:rPr>
      </w:pPr>
      <w:r>
        <w:rPr>
          <w:rFonts w:hint="eastAsia" w:ascii="宋体"/>
          <w:b/>
          <w:bCs/>
          <w:color w:val="000000"/>
          <w:spacing w:val="10"/>
        </w:rPr>
        <w:t>理财产品分红</w:t>
      </w:r>
    </w:p>
    <w:p>
      <w:pPr>
        <w:spacing w:line="360" w:lineRule="auto"/>
        <w:ind w:firstLine="460" w:firstLineChars="200"/>
        <w:rPr>
          <w:rFonts w:ascii="宋体"/>
          <w:bCs/>
          <w:color w:val="000000"/>
          <w:spacing w:val="10"/>
        </w:rPr>
      </w:pPr>
      <w:r>
        <w:rPr>
          <w:rFonts w:hint="eastAsia" w:ascii="宋体"/>
          <w:bCs/>
          <w:color w:val="000000"/>
          <w:spacing w:val="10"/>
        </w:rPr>
        <w:t>本产品存续期间不分红</w:t>
      </w:r>
    </w:p>
    <w:p>
      <w:pPr>
        <w:numPr>
          <w:ilvl w:val="0"/>
          <w:numId w:val="14"/>
        </w:numPr>
        <w:spacing w:line="360" w:lineRule="auto"/>
        <w:rPr>
          <w:rFonts w:ascii="宋体"/>
          <w:b/>
          <w:bCs/>
          <w:color w:val="000000"/>
          <w:spacing w:val="10"/>
        </w:rPr>
      </w:pPr>
      <w:r>
        <w:rPr>
          <w:rFonts w:hint="eastAsia" w:ascii="宋体" w:hAnsi="宋体"/>
          <w:b/>
          <w:bCs/>
          <w:color w:val="000000"/>
          <w:spacing w:val="10"/>
        </w:rPr>
        <w:t>运作方式</w:t>
      </w:r>
    </w:p>
    <w:p>
      <w:pPr>
        <w:spacing w:line="360" w:lineRule="auto"/>
        <w:ind w:firstLine="460" w:firstLineChars="200"/>
        <w:rPr>
          <w:rFonts w:ascii="宋体" w:hAnsi="宋体"/>
          <w:color w:val="000000"/>
          <w:spacing w:val="10"/>
        </w:rPr>
      </w:pPr>
      <w:r>
        <w:rPr>
          <w:rFonts w:hint="eastAsia" w:ascii="宋体" w:hAnsi="宋体"/>
          <w:color w:val="000000"/>
          <w:spacing w:val="10"/>
        </w:rPr>
        <w:t>本产品遵循稳健投资原则，通过对宏观环境、经济政策、资金供求等方面的深入分析，合理构建投资组合，实现资产稳健增值。</w:t>
      </w:r>
    </w:p>
    <w:p>
      <w:pPr>
        <w:numPr>
          <w:ilvl w:val="0"/>
          <w:numId w:val="14"/>
        </w:numPr>
        <w:spacing w:line="360" w:lineRule="auto"/>
        <w:rPr>
          <w:rFonts w:ascii="宋体" w:hAnsi="宋体"/>
          <w:b/>
          <w:bCs/>
          <w:color w:val="000000"/>
          <w:spacing w:val="10"/>
        </w:rPr>
      </w:pPr>
      <w:r>
        <w:rPr>
          <w:rFonts w:hint="eastAsia" w:ascii="宋体"/>
          <w:b/>
          <w:bCs/>
          <w:color w:val="000000"/>
          <w:spacing w:val="10"/>
        </w:rPr>
        <w:t>投资管理人、销售机构、托管机构的基本信息</w:t>
      </w:r>
    </w:p>
    <w:p>
      <w:pPr>
        <w:numPr>
          <w:ilvl w:val="0"/>
          <w:numId w:val="15"/>
        </w:numPr>
        <w:tabs>
          <w:tab w:val="left" w:pos="0"/>
        </w:tabs>
        <w:spacing w:line="360" w:lineRule="auto"/>
        <w:ind w:left="0" w:firstLine="420"/>
        <w:rPr>
          <w:rFonts w:hint="eastAsia" w:asciiTheme="minorEastAsia" w:hAnsiTheme="minorEastAsia" w:eastAsiaTheme="minorEastAsia" w:cstheme="minorEastAsia"/>
          <w:b/>
          <w:bCs/>
          <w:color w:val="000000"/>
          <w:spacing w:val="10"/>
        </w:rPr>
      </w:pPr>
      <w:r>
        <w:rPr>
          <w:rFonts w:hint="eastAsia" w:asciiTheme="minorEastAsia" w:hAnsiTheme="minorEastAsia" w:eastAsiaTheme="minorEastAsia" w:cstheme="minorEastAsia"/>
          <w:b/>
          <w:bCs/>
          <w:color w:val="000000"/>
          <w:spacing w:val="10"/>
          <w:lang w:eastAsia="zh-CN"/>
        </w:rPr>
        <w:t>投资管理人</w:t>
      </w: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noWrap w:val="0"/>
            <w:vAlign w:val="top"/>
          </w:tcPr>
          <w:p>
            <w:pPr>
              <w:numPr>
                <w:ilvl w:val="0"/>
                <w:numId w:val="0"/>
              </w:numPr>
              <w:tabs>
                <w:tab w:val="left" w:pos="0"/>
              </w:tabs>
              <w:spacing w:before="0" w:beforeLines="0" w:line="360" w:lineRule="auto"/>
              <w:jc w:val="center"/>
              <w:rPr>
                <w:rFonts w:hint="eastAsia" w:asciiTheme="minorEastAsia" w:hAnsiTheme="minorEastAsia" w:eastAsiaTheme="minorEastAsia" w:cstheme="minorEastAsia"/>
                <w:b/>
                <w:bCs/>
                <w:color w:val="000000"/>
                <w:spacing w:val="10"/>
                <w:szCs w:val="21"/>
                <w:vertAlign w:val="baseline"/>
                <w:lang w:eastAsia="zh-CN"/>
              </w:rPr>
            </w:pPr>
            <w:r>
              <w:rPr>
                <w:rFonts w:hint="eastAsia" w:asciiTheme="minorEastAsia" w:hAnsiTheme="minorEastAsia" w:eastAsiaTheme="minorEastAsia" w:cstheme="minorEastAsia"/>
                <w:b/>
                <w:bCs/>
                <w:color w:val="000000"/>
                <w:spacing w:val="10"/>
                <w:szCs w:val="21"/>
                <w:vertAlign w:val="baseline"/>
                <w:lang w:eastAsia="zh-CN"/>
              </w:rPr>
              <w:t>投资管理人</w:t>
            </w:r>
          </w:p>
        </w:tc>
        <w:tc>
          <w:tcPr>
            <w:tcW w:w="7716" w:type="dxa"/>
            <w:noWrap w:val="0"/>
            <w:vAlign w:val="top"/>
          </w:tcPr>
          <w:p>
            <w:pPr>
              <w:numPr>
                <w:ilvl w:val="0"/>
                <w:numId w:val="0"/>
              </w:numPr>
              <w:tabs>
                <w:tab w:val="left" w:pos="0"/>
              </w:tabs>
              <w:spacing w:before="0" w:beforeLines="0" w:line="360" w:lineRule="auto"/>
              <w:rPr>
                <w:rFonts w:hint="eastAsia" w:asciiTheme="minorEastAsia" w:hAnsiTheme="minorEastAsia" w:eastAsiaTheme="minorEastAsia" w:cstheme="minorEastAsia"/>
                <w:color w:val="000000"/>
                <w:spacing w:val="10"/>
                <w:szCs w:val="21"/>
                <w:vertAlign w:val="baseline"/>
                <w:lang w:eastAsia="zh-CN"/>
              </w:rPr>
            </w:pPr>
            <w:r>
              <w:rPr>
                <w:rFonts w:hint="eastAsia" w:asciiTheme="minorEastAsia" w:hAnsiTheme="minorEastAsia" w:eastAsiaTheme="minorEastAsia" w:cstheme="minorEastAsia"/>
                <w:color w:val="000000"/>
                <w:spacing w:val="10"/>
                <w:szCs w:val="21"/>
                <w:vertAlign w:val="baseline"/>
                <w:lang w:eastAsia="zh-CN"/>
              </w:rPr>
              <w:t>绍兴银行股份有限公司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noWrap w:val="0"/>
            <w:vAlign w:val="top"/>
          </w:tcPr>
          <w:p>
            <w:pPr>
              <w:numPr>
                <w:ilvl w:val="0"/>
                <w:numId w:val="0"/>
              </w:numPr>
              <w:tabs>
                <w:tab w:val="left" w:pos="0"/>
              </w:tabs>
              <w:spacing w:before="0" w:beforeLines="0" w:line="360" w:lineRule="auto"/>
              <w:jc w:val="center"/>
              <w:rPr>
                <w:rFonts w:hint="eastAsia" w:asciiTheme="minorEastAsia" w:hAnsiTheme="minorEastAsia" w:eastAsiaTheme="minorEastAsia" w:cstheme="minorEastAsia"/>
                <w:b/>
                <w:bCs/>
                <w:color w:val="000000"/>
                <w:spacing w:val="10"/>
                <w:szCs w:val="21"/>
                <w:vertAlign w:val="baseline"/>
                <w:lang w:eastAsia="zh-CN"/>
              </w:rPr>
            </w:pPr>
            <w:r>
              <w:rPr>
                <w:rFonts w:hint="eastAsia" w:asciiTheme="minorEastAsia" w:hAnsiTheme="minorEastAsia" w:eastAsiaTheme="minorEastAsia" w:cstheme="minorEastAsia"/>
                <w:b/>
                <w:bCs/>
                <w:color w:val="000000"/>
                <w:spacing w:val="10"/>
                <w:szCs w:val="21"/>
                <w:vertAlign w:val="baseline"/>
                <w:lang w:eastAsia="zh-CN"/>
              </w:rPr>
              <w:t>住所</w:t>
            </w:r>
          </w:p>
        </w:tc>
        <w:tc>
          <w:tcPr>
            <w:tcW w:w="7716" w:type="dxa"/>
            <w:noWrap w:val="0"/>
            <w:vAlign w:val="top"/>
          </w:tcPr>
          <w:p>
            <w:pPr>
              <w:numPr>
                <w:ilvl w:val="0"/>
                <w:numId w:val="0"/>
              </w:numPr>
              <w:tabs>
                <w:tab w:val="left" w:pos="0"/>
              </w:tabs>
              <w:spacing w:before="0" w:beforeLines="0" w:line="360" w:lineRule="auto"/>
              <w:rPr>
                <w:rFonts w:hint="eastAsia" w:asciiTheme="minorEastAsia" w:hAnsiTheme="minorEastAsia" w:eastAsiaTheme="minorEastAsia" w:cstheme="minorEastAsia"/>
                <w:color w:val="000000"/>
                <w:spacing w:val="10"/>
                <w:szCs w:val="21"/>
                <w:vertAlign w:val="baseline"/>
                <w:lang w:val="en-US" w:eastAsia="zh-CN"/>
              </w:rPr>
            </w:pPr>
            <w:r>
              <w:rPr>
                <w:rFonts w:hint="eastAsia" w:asciiTheme="minorEastAsia" w:hAnsiTheme="minorEastAsia" w:eastAsiaTheme="minorEastAsia" w:cstheme="minorEastAsia"/>
                <w:color w:val="000000"/>
                <w:spacing w:val="10"/>
                <w:szCs w:val="21"/>
                <w:lang w:eastAsia="zh-CN"/>
              </w:rPr>
              <w:t>绍兴市越城区中兴南路</w:t>
            </w:r>
            <w:r>
              <w:rPr>
                <w:rFonts w:hint="eastAsia" w:asciiTheme="minorEastAsia" w:hAnsiTheme="minorEastAsia" w:eastAsiaTheme="minorEastAsia" w:cstheme="minorEastAsia"/>
                <w:color w:val="000000"/>
                <w:spacing w:val="10"/>
                <w:szCs w:val="21"/>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noWrap w:val="0"/>
            <w:vAlign w:val="center"/>
          </w:tcPr>
          <w:p>
            <w:pPr>
              <w:numPr>
                <w:ilvl w:val="0"/>
                <w:numId w:val="0"/>
              </w:numPr>
              <w:tabs>
                <w:tab w:val="left" w:pos="0"/>
              </w:tabs>
              <w:spacing w:before="0" w:beforeLines="0" w:line="360" w:lineRule="auto"/>
              <w:jc w:val="center"/>
              <w:rPr>
                <w:rFonts w:hint="eastAsia" w:asciiTheme="minorEastAsia" w:hAnsiTheme="minorEastAsia" w:eastAsiaTheme="minorEastAsia" w:cstheme="minorEastAsia"/>
                <w:b/>
                <w:bCs/>
                <w:color w:val="000000"/>
                <w:spacing w:val="10"/>
                <w:szCs w:val="21"/>
                <w:vertAlign w:val="baseline"/>
                <w:lang w:eastAsia="zh-CN"/>
              </w:rPr>
            </w:pPr>
            <w:r>
              <w:rPr>
                <w:rFonts w:hint="eastAsia" w:asciiTheme="minorEastAsia" w:hAnsiTheme="minorEastAsia" w:eastAsiaTheme="minorEastAsia" w:cstheme="minorEastAsia"/>
                <w:b/>
                <w:bCs/>
                <w:color w:val="000000"/>
                <w:spacing w:val="10"/>
                <w:szCs w:val="21"/>
                <w:vertAlign w:val="baseline"/>
                <w:lang w:eastAsia="zh-CN"/>
              </w:rPr>
              <w:t>主要职责</w:t>
            </w:r>
          </w:p>
        </w:tc>
        <w:tc>
          <w:tcPr>
            <w:tcW w:w="7716" w:type="dxa"/>
            <w:noWrap w:val="0"/>
            <w:vAlign w:val="center"/>
          </w:tcPr>
          <w:p>
            <w:pPr>
              <w:numPr>
                <w:ilvl w:val="0"/>
                <w:numId w:val="0"/>
              </w:numPr>
              <w:tabs>
                <w:tab w:val="left" w:pos="0"/>
              </w:tabs>
              <w:spacing w:before="0" w:beforeLines="0" w:line="360" w:lineRule="auto"/>
              <w:jc w:val="left"/>
              <w:rPr>
                <w:rFonts w:hint="eastAsia" w:asciiTheme="minorEastAsia" w:hAnsiTheme="minorEastAsia" w:eastAsiaTheme="minorEastAsia" w:cstheme="minorEastAsia"/>
                <w:color w:val="000000"/>
                <w:spacing w:val="10"/>
                <w:szCs w:val="21"/>
                <w:vertAlign w:val="baseline"/>
                <w:lang w:eastAsia="zh-CN"/>
              </w:rPr>
            </w:pPr>
            <w:r>
              <w:rPr>
                <w:rFonts w:hint="eastAsia" w:asciiTheme="minorEastAsia" w:hAnsiTheme="minorEastAsia" w:eastAsiaTheme="minorEastAsia" w:cstheme="minorEastAsia"/>
                <w:color w:val="000000"/>
                <w:spacing w:val="10"/>
                <w:szCs w:val="21"/>
                <w:vertAlign w:val="baseline"/>
                <w:lang w:eastAsia="zh-CN"/>
              </w:rPr>
              <w:t>接受客户的委托和授权，按照本产品说明书约定的投资方向和方式，进行投资和资产管理</w:t>
            </w:r>
          </w:p>
        </w:tc>
      </w:tr>
    </w:tbl>
    <w:p>
      <w:pPr>
        <w:numPr>
          <w:ilvl w:val="0"/>
          <w:numId w:val="15"/>
        </w:numPr>
        <w:tabs>
          <w:tab w:val="left" w:pos="0"/>
        </w:tabs>
        <w:spacing w:line="360" w:lineRule="auto"/>
        <w:ind w:left="0" w:firstLine="420"/>
        <w:rPr>
          <w:rFonts w:hint="eastAsia" w:asciiTheme="minorEastAsia" w:hAnsiTheme="minorEastAsia" w:eastAsiaTheme="minorEastAsia" w:cstheme="minorEastAsia"/>
          <w:b/>
          <w:bCs/>
          <w:color w:val="000000"/>
          <w:spacing w:val="10"/>
        </w:rPr>
      </w:pPr>
      <w:r>
        <w:rPr>
          <w:rFonts w:hint="eastAsia" w:asciiTheme="minorEastAsia" w:hAnsiTheme="minorEastAsia" w:eastAsiaTheme="minorEastAsia" w:cstheme="minorEastAsia"/>
          <w:b/>
          <w:bCs/>
          <w:color w:val="000000"/>
          <w:spacing w:val="10"/>
          <w:lang w:eastAsia="zh-CN"/>
        </w:rPr>
        <w:t>销售机构</w:t>
      </w: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2" w:type="dxa"/>
            <w:noWrap w:val="0"/>
            <w:vAlign w:val="top"/>
          </w:tcPr>
          <w:p>
            <w:pPr>
              <w:numPr>
                <w:ilvl w:val="0"/>
                <w:numId w:val="0"/>
              </w:numPr>
              <w:tabs>
                <w:tab w:val="left" w:pos="0"/>
              </w:tabs>
              <w:spacing w:before="0" w:beforeLines="0" w:line="360" w:lineRule="auto"/>
              <w:jc w:val="center"/>
              <w:rPr>
                <w:rFonts w:hint="eastAsia" w:asciiTheme="minorEastAsia" w:hAnsiTheme="minorEastAsia" w:eastAsiaTheme="minorEastAsia" w:cstheme="minorEastAsia"/>
                <w:b/>
                <w:bCs/>
                <w:color w:val="000000"/>
                <w:spacing w:val="10"/>
                <w:szCs w:val="21"/>
                <w:vertAlign w:val="baseline"/>
                <w:lang w:eastAsia="zh-CN"/>
              </w:rPr>
            </w:pPr>
            <w:r>
              <w:rPr>
                <w:rFonts w:hint="eastAsia" w:asciiTheme="minorEastAsia" w:hAnsiTheme="minorEastAsia" w:eastAsiaTheme="minorEastAsia" w:cstheme="minorEastAsia"/>
                <w:b/>
                <w:bCs/>
                <w:color w:val="000000"/>
                <w:spacing w:val="10"/>
                <w:szCs w:val="21"/>
                <w:vertAlign w:val="baseline"/>
                <w:lang w:eastAsia="zh-CN"/>
              </w:rPr>
              <w:t>销售机构</w:t>
            </w:r>
          </w:p>
        </w:tc>
        <w:tc>
          <w:tcPr>
            <w:tcW w:w="7716" w:type="dxa"/>
            <w:noWrap w:val="0"/>
            <w:vAlign w:val="top"/>
          </w:tcPr>
          <w:p>
            <w:pPr>
              <w:numPr>
                <w:ilvl w:val="0"/>
                <w:numId w:val="0"/>
              </w:numPr>
              <w:tabs>
                <w:tab w:val="left" w:pos="0"/>
              </w:tabs>
              <w:spacing w:before="0" w:beforeLines="0" w:line="360" w:lineRule="auto"/>
              <w:rPr>
                <w:rFonts w:hint="eastAsia" w:asciiTheme="minorEastAsia" w:hAnsiTheme="minorEastAsia" w:eastAsiaTheme="minorEastAsia" w:cstheme="minorEastAsia"/>
                <w:color w:val="000000"/>
                <w:spacing w:val="10"/>
                <w:szCs w:val="21"/>
                <w:vertAlign w:val="baseline"/>
                <w:lang w:eastAsia="zh-CN"/>
              </w:rPr>
            </w:pPr>
            <w:r>
              <w:rPr>
                <w:rFonts w:hint="eastAsia" w:asciiTheme="minorEastAsia" w:hAnsiTheme="minorEastAsia" w:eastAsiaTheme="minorEastAsia" w:cstheme="minorEastAsia"/>
                <w:color w:val="000000"/>
                <w:spacing w:val="10"/>
                <w:szCs w:val="21"/>
                <w:vertAlign w:val="baseline"/>
                <w:lang w:eastAsia="zh-CN"/>
              </w:rPr>
              <w:t>绍兴银行股份有限公司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noWrap w:val="0"/>
            <w:vAlign w:val="top"/>
          </w:tcPr>
          <w:p>
            <w:pPr>
              <w:numPr>
                <w:ilvl w:val="0"/>
                <w:numId w:val="0"/>
              </w:numPr>
              <w:tabs>
                <w:tab w:val="left" w:pos="0"/>
              </w:tabs>
              <w:spacing w:before="0" w:beforeLines="0" w:line="360" w:lineRule="auto"/>
              <w:jc w:val="center"/>
              <w:rPr>
                <w:rFonts w:hint="eastAsia" w:asciiTheme="minorEastAsia" w:hAnsiTheme="minorEastAsia" w:eastAsiaTheme="minorEastAsia" w:cstheme="minorEastAsia"/>
                <w:b/>
                <w:bCs/>
                <w:color w:val="000000"/>
                <w:spacing w:val="10"/>
                <w:szCs w:val="21"/>
                <w:vertAlign w:val="baseline"/>
                <w:lang w:eastAsia="zh-CN"/>
              </w:rPr>
            </w:pPr>
            <w:r>
              <w:rPr>
                <w:rFonts w:hint="eastAsia" w:asciiTheme="minorEastAsia" w:hAnsiTheme="minorEastAsia" w:eastAsiaTheme="minorEastAsia" w:cstheme="minorEastAsia"/>
                <w:b/>
                <w:bCs/>
                <w:color w:val="000000"/>
                <w:spacing w:val="10"/>
                <w:szCs w:val="21"/>
                <w:vertAlign w:val="baseline"/>
                <w:lang w:eastAsia="zh-CN"/>
              </w:rPr>
              <w:t>住所</w:t>
            </w:r>
          </w:p>
        </w:tc>
        <w:tc>
          <w:tcPr>
            <w:tcW w:w="7716" w:type="dxa"/>
            <w:noWrap w:val="0"/>
            <w:vAlign w:val="top"/>
          </w:tcPr>
          <w:p>
            <w:pPr>
              <w:numPr>
                <w:ilvl w:val="0"/>
                <w:numId w:val="0"/>
              </w:numPr>
              <w:tabs>
                <w:tab w:val="left" w:pos="0"/>
              </w:tabs>
              <w:spacing w:before="0" w:beforeLines="0" w:line="360" w:lineRule="auto"/>
              <w:rPr>
                <w:rFonts w:hint="eastAsia" w:asciiTheme="minorEastAsia" w:hAnsiTheme="minorEastAsia" w:eastAsiaTheme="minorEastAsia" w:cstheme="minorEastAsia"/>
                <w:color w:val="000000"/>
                <w:spacing w:val="10"/>
                <w:szCs w:val="21"/>
                <w:vertAlign w:val="baseline"/>
                <w:lang w:val="en-US" w:eastAsia="zh-CN"/>
              </w:rPr>
            </w:pPr>
            <w:r>
              <w:rPr>
                <w:rFonts w:hint="eastAsia" w:asciiTheme="minorEastAsia" w:hAnsiTheme="minorEastAsia" w:eastAsiaTheme="minorEastAsia" w:cstheme="minorEastAsia"/>
                <w:color w:val="000000"/>
                <w:spacing w:val="10"/>
                <w:szCs w:val="21"/>
                <w:lang w:eastAsia="zh-CN"/>
              </w:rPr>
              <w:t>绍兴市越城区中兴南路</w:t>
            </w:r>
            <w:r>
              <w:rPr>
                <w:rFonts w:hint="eastAsia" w:asciiTheme="minorEastAsia" w:hAnsiTheme="minorEastAsia" w:eastAsiaTheme="minorEastAsia" w:cstheme="minorEastAsia"/>
                <w:color w:val="000000"/>
                <w:spacing w:val="10"/>
                <w:szCs w:val="21"/>
                <w:lang w:val="en-US" w:eastAsia="zh-CN"/>
              </w:rPr>
              <w:t>1号</w:t>
            </w:r>
          </w:p>
        </w:tc>
      </w:tr>
    </w:tbl>
    <w:p>
      <w:pPr>
        <w:numPr>
          <w:ilvl w:val="0"/>
          <w:numId w:val="0"/>
        </w:numPr>
        <w:spacing w:line="360" w:lineRule="auto"/>
        <w:ind w:firstLine="462" w:firstLineChars="200"/>
        <w:rPr>
          <w:rFonts w:ascii="宋体" w:hAnsi="宋体"/>
          <w:b/>
          <w:bCs/>
          <w:color w:val="000000"/>
          <w:spacing w:val="10"/>
        </w:rPr>
      </w:pPr>
      <w:r>
        <w:rPr>
          <w:rFonts w:hint="eastAsia" w:asciiTheme="minorEastAsia" w:hAnsiTheme="minorEastAsia" w:cstheme="minorEastAsia"/>
          <w:b/>
          <w:bCs/>
          <w:color w:val="000000"/>
          <w:spacing w:val="10"/>
          <w:lang w:val="en-US" w:eastAsia="zh-CN"/>
        </w:rPr>
        <w:t>（三）托管机构</w:t>
      </w: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2" w:type="dxa"/>
          </w:tcPr>
          <w:p>
            <w:pPr>
              <w:tabs>
                <w:tab w:val="left" w:pos="0"/>
              </w:tabs>
              <w:spacing w:line="360" w:lineRule="auto"/>
              <w:jc w:val="center"/>
              <w:rPr>
                <w:rFonts w:ascii="宋体" w:hAnsi="宋体" w:eastAsia="宋体"/>
                <w:b/>
                <w:bCs/>
                <w:color w:val="000000"/>
                <w:spacing w:val="10"/>
              </w:rPr>
            </w:pPr>
            <w:r>
              <w:rPr>
                <w:rFonts w:hint="eastAsia" w:ascii="宋体" w:hAnsi="宋体"/>
                <w:b/>
                <w:bCs/>
                <w:color w:val="000000"/>
                <w:spacing w:val="10"/>
              </w:rPr>
              <w:t>产品托管人</w:t>
            </w:r>
          </w:p>
        </w:tc>
        <w:tc>
          <w:tcPr>
            <w:tcW w:w="7716" w:type="dxa"/>
          </w:tcPr>
          <w:p>
            <w:pPr>
              <w:tabs>
                <w:tab w:val="left" w:pos="0"/>
              </w:tabs>
              <w:spacing w:line="360" w:lineRule="auto"/>
              <w:rPr>
                <w:rFonts w:ascii="宋体" w:hAnsi="宋体" w:eastAsia="宋体"/>
                <w:color w:val="000000"/>
                <w:spacing w:val="10"/>
              </w:rPr>
            </w:pPr>
            <w:r>
              <w:rPr>
                <w:rFonts w:hint="eastAsia" w:ascii="宋体" w:hAnsi="宋体"/>
                <w:color w:val="000000"/>
                <w:spacing w:val="10"/>
              </w:rPr>
              <w:t>招商银行股份有限公司杭州分行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tcPr>
          <w:p>
            <w:pPr>
              <w:tabs>
                <w:tab w:val="left" w:pos="0"/>
              </w:tabs>
              <w:spacing w:line="360" w:lineRule="auto"/>
              <w:jc w:val="center"/>
              <w:rPr>
                <w:rFonts w:ascii="宋体" w:hAnsi="宋体" w:eastAsia="宋体"/>
                <w:b/>
                <w:bCs/>
                <w:color w:val="000000"/>
                <w:spacing w:val="10"/>
              </w:rPr>
            </w:pPr>
            <w:r>
              <w:rPr>
                <w:rFonts w:hint="eastAsia" w:ascii="宋体" w:hAnsi="宋体"/>
                <w:b/>
                <w:bCs/>
                <w:color w:val="000000"/>
                <w:spacing w:val="10"/>
              </w:rPr>
              <w:t>住所</w:t>
            </w:r>
          </w:p>
        </w:tc>
        <w:tc>
          <w:tcPr>
            <w:tcW w:w="7716" w:type="dxa"/>
          </w:tcPr>
          <w:p>
            <w:pPr>
              <w:tabs>
                <w:tab w:val="left" w:pos="0"/>
              </w:tabs>
              <w:spacing w:line="360" w:lineRule="auto"/>
              <w:rPr>
                <w:rFonts w:ascii="宋体" w:hAnsi="宋体"/>
                <w:color w:val="000000"/>
                <w:spacing w:val="10"/>
              </w:rPr>
            </w:pPr>
            <w:r>
              <w:rPr>
                <w:rFonts w:hint="eastAsia" w:ascii="宋体" w:hAnsi="宋体"/>
                <w:color w:val="000000"/>
                <w:spacing w:val="10"/>
              </w:rPr>
              <w:t>杭州市富春路300号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tcPr>
          <w:p>
            <w:pPr>
              <w:tabs>
                <w:tab w:val="left" w:pos="0"/>
              </w:tabs>
              <w:spacing w:line="360" w:lineRule="auto"/>
              <w:jc w:val="center"/>
              <w:rPr>
                <w:rFonts w:ascii="宋体" w:hAnsi="宋体" w:eastAsia="宋体"/>
                <w:b/>
                <w:bCs/>
                <w:color w:val="000000"/>
                <w:spacing w:val="10"/>
              </w:rPr>
            </w:pPr>
            <w:r>
              <w:rPr>
                <w:rFonts w:hint="eastAsia" w:ascii="宋体" w:hAnsi="宋体"/>
                <w:b/>
                <w:bCs/>
                <w:color w:val="000000"/>
                <w:spacing w:val="10"/>
              </w:rPr>
              <w:t>主要职责</w:t>
            </w:r>
          </w:p>
        </w:tc>
        <w:tc>
          <w:tcPr>
            <w:tcW w:w="7716" w:type="dxa"/>
          </w:tcPr>
          <w:p>
            <w:pPr>
              <w:tabs>
                <w:tab w:val="left" w:pos="0"/>
              </w:tabs>
              <w:spacing w:line="360" w:lineRule="auto"/>
              <w:rPr>
                <w:rFonts w:ascii="宋体" w:hAnsi="宋体" w:eastAsia="宋体"/>
                <w:color w:val="000000"/>
                <w:spacing w:val="10"/>
              </w:rPr>
            </w:pPr>
            <w:r>
              <w:rPr>
                <w:rFonts w:hint="eastAsia" w:ascii="宋体" w:hAnsi="宋体"/>
                <w:color w:val="000000"/>
                <w:spacing w:val="10"/>
              </w:rPr>
              <w:t>提供包括账户开立、资金保管、资金清算、估值核算等理财产品托管服务</w:t>
            </w:r>
          </w:p>
        </w:tc>
      </w:tr>
    </w:tbl>
    <w:p>
      <w:pPr>
        <w:numPr>
          <w:ilvl w:val="0"/>
          <w:numId w:val="14"/>
        </w:numPr>
        <w:spacing w:line="360" w:lineRule="auto"/>
        <w:rPr>
          <w:rFonts w:ascii="宋体"/>
          <w:b/>
          <w:bCs/>
          <w:color w:val="000000"/>
          <w:spacing w:val="10"/>
        </w:rPr>
      </w:pPr>
      <w:r>
        <w:rPr>
          <w:rFonts w:hint="eastAsia" w:ascii="宋体" w:hAnsi="宋体"/>
          <w:b/>
          <w:bCs/>
          <w:color w:val="000000"/>
          <w:spacing w:val="10"/>
        </w:rPr>
        <w:t>收益计算规则</w:t>
      </w:r>
    </w:p>
    <w:p>
      <w:pPr>
        <w:spacing w:line="360" w:lineRule="auto"/>
        <w:ind w:firstLine="538" w:firstLineChars="234"/>
        <w:rPr>
          <w:rFonts w:hint="eastAsia" w:ascii="宋体" w:hAnsi="宋体"/>
          <w:color w:val="000000"/>
          <w:spacing w:val="10"/>
        </w:rPr>
      </w:pPr>
      <w:r>
        <w:rPr>
          <w:rFonts w:hint="eastAsia" w:ascii="宋体" w:hAnsi="宋体"/>
          <w:color w:val="000000"/>
          <w:spacing w:val="10"/>
        </w:rPr>
        <w:t>本产品根据理财资金所投资资产实际运作情况，以合同约定的估值方法计量各项资产价值，在扣除合同约定的各项费用之后，按产品净值兑付投资者理财资金。</w:t>
      </w:r>
    </w:p>
    <w:p>
      <w:pPr>
        <w:numPr>
          <w:ilvl w:val="0"/>
          <w:numId w:val="16"/>
        </w:numPr>
        <w:spacing w:line="360" w:lineRule="auto"/>
        <w:ind w:firstLine="462" w:firstLineChars="200"/>
        <w:rPr>
          <w:rFonts w:hint="eastAsia" w:asciiTheme="minorEastAsia" w:hAnsiTheme="minorEastAsia" w:eastAsiaTheme="minorEastAsia" w:cstheme="minorEastAsia"/>
          <w:b/>
          <w:bCs/>
          <w:color w:val="000000"/>
          <w:spacing w:val="10"/>
          <w:lang w:eastAsia="zh-CN"/>
        </w:rPr>
      </w:pPr>
      <w:r>
        <w:rPr>
          <w:rFonts w:hint="eastAsia" w:asciiTheme="minorEastAsia" w:hAnsiTheme="minorEastAsia" w:eastAsiaTheme="minorEastAsia" w:cstheme="minorEastAsia"/>
          <w:b/>
          <w:bCs/>
          <w:color w:val="000000"/>
          <w:spacing w:val="10"/>
          <w:lang w:eastAsia="zh-CN"/>
        </w:rPr>
        <w:t>理财费用计提</w:t>
      </w:r>
    </w:p>
    <w:p>
      <w:pPr>
        <w:spacing w:line="360" w:lineRule="auto"/>
        <w:ind w:firstLine="460" w:firstLineChars="200"/>
        <w:rPr>
          <w:rFonts w:hint="eastAsia" w:asciiTheme="minorEastAsia" w:hAnsiTheme="minorEastAsia" w:eastAsiaTheme="minorEastAsia" w:cstheme="minorEastAsia"/>
          <w:color w:val="000000"/>
          <w:spacing w:val="10"/>
          <w:lang w:val="en-US" w:eastAsia="zh-CN"/>
        </w:rPr>
      </w:pPr>
      <w:r>
        <w:rPr>
          <w:rFonts w:hint="eastAsia" w:asciiTheme="minorEastAsia" w:hAnsiTheme="minorEastAsia" w:eastAsiaTheme="minorEastAsia" w:cstheme="minorEastAsia"/>
          <w:color w:val="000000"/>
          <w:spacing w:val="10"/>
          <w:lang w:eastAsia="zh-CN"/>
        </w:rPr>
        <w:t>本产品收取固定管理费、浮动管理费和托管费，其中固定管理费和托管费年化费率分别为</w:t>
      </w:r>
      <w:r>
        <w:rPr>
          <w:rFonts w:hint="eastAsia" w:ascii="仿宋" w:hAnsi="仿宋" w:eastAsia="仿宋" w:cs="仿宋"/>
          <w:color w:val="000000"/>
          <w:szCs w:val="21"/>
        </w:rPr>
        <w:t>0.6%</w:t>
      </w:r>
      <w:r>
        <w:rPr>
          <w:rFonts w:hint="eastAsia" w:asciiTheme="minorEastAsia" w:hAnsiTheme="minorEastAsia" w:eastAsiaTheme="minorEastAsia" w:cstheme="minorEastAsia"/>
          <w:color w:val="000000"/>
          <w:spacing w:val="10"/>
          <w:lang w:val="en-US" w:eastAsia="zh-CN"/>
        </w:rPr>
        <w:t>和</w:t>
      </w:r>
      <w:r>
        <w:rPr>
          <w:rFonts w:hint="eastAsia" w:ascii="仿宋" w:hAnsi="仿宋" w:eastAsia="仿宋" w:cs="仿宋"/>
          <w:color w:val="000000"/>
          <w:szCs w:val="21"/>
        </w:rPr>
        <w:t>0.002%</w:t>
      </w:r>
      <w:r>
        <w:rPr>
          <w:rFonts w:hint="eastAsia" w:asciiTheme="minorEastAsia" w:hAnsiTheme="minorEastAsia" w:eastAsiaTheme="minorEastAsia" w:cstheme="minorEastAsia"/>
          <w:color w:val="000000"/>
          <w:spacing w:val="10"/>
          <w:lang w:val="en-US" w:eastAsia="zh-CN"/>
        </w:rPr>
        <w:t>，自产品成立日起，每日计提。与本产品运作相关的其他费用，包括但不限于银行划拨手续费、证券交易费用、税费等，于费用发生时计提或扣减。</w:t>
      </w:r>
    </w:p>
    <w:p>
      <w:pPr>
        <w:spacing w:line="360" w:lineRule="auto"/>
        <w:ind w:firstLine="460" w:firstLineChars="200"/>
        <w:rPr>
          <w:rFonts w:hint="eastAsia" w:asciiTheme="minorEastAsia" w:hAnsiTheme="minorEastAsia" w:eastAsiaTheme="minorEastAsia" w:cstheme="minorEastAsia"/>
          <w:color w:val="000000"/>
          <w:spacing w:val="10"/>
          <w:lang w:val="en-US" w:eastAsia="zh-CN"/>
        </w:rPr>
      </w:pPr>
      <w:r>
        <w:rPr>
          <w:rFonts w:hint="eastAsia" w:asciiTheme="minorEastAsia" w:hAnsiTheme="minorEastAsia" w:eastAsiaTheme="minorEastAsia" w:cstheme="minorEastAsia"/>
          <w:color w:val="000000"/>
          <w:spacing w:val="10"/>
          <w:lang w:val="en-US" w:eastAsia="zh-CN"/>
        </w:rPr>
        <w:t>费用计提方法如下：</w:t>
      </w:r>
    </w:p>
    <w:p>
      <w:pPr>
        <w:numPr>
          <w:ilvl w:val="0"/>
          <w:numId w:val="17"/>
        </w:numPr>
        <w:spacing w:line="360" w:lineRule="auto"/>
        <w:ind w:firstLine="460" w:firstLineChars="200"/>
        <w:rPr>
          <w:rFonts w:hint="eastAsia" w:asciiTheme="minorEastAsia" w:hAnsiTheme="minorEastAsia" w:eastAsiaTheme="minorEastAsia" w:cstheme="minorEastAsia"/>
          <w:color w:val="000000"/>
          <w:spacing w:val="10"/>
          <w:lang w:val="en-US" w:eastAsia="zh-CN"/>
        </w:rPr>
      </w:pPr>
      <w:r>
        <w:rPr>
          <w:rFonts w:hint="eastAsia" w:asciiTheme="minorEastAsia" w:hAnsiTheme="minorEastAsia" w:eastAsiaTheme="minorEastAsia" w:cstheme="minorEastAsia"/>
          <w:color w:val="000000"/>
          <w:spacing w:val="10"/>
          <w:lang w:val="en-US" w:eastAsia="zh-CN"/>
        </w:rPr>
        <w:t>固定管理费：本产品固定管理费按前一自然日产品资产净值的</w:t>
      </w:r>
      <w:r>
        <w:rPr>
          <w:rFonts w:hint="eastAsia" w:ascii="仿宋" w:hAnsi="仿宋" w:eastAsia="仿宋" w:cs="仿宋"/>
          <w:color w:val="000000"/>
          <w:szCs w:val="21"/>
        </w:rPr>
        <w:t>0.6%</w:t>
      </w:r>
      <w:r>
        <w:rPr>
          <w:rFonts w:hint="eastAsia" w:asciiTheme="minorEastAsia" w:hAnsiTheme="minorEastAsia" w:eastAsiaTheme="minorEastAsia" w:cstheme="minorEastAsia"/>
          <w:color w:val="000000"/>
          <w:spacing w:val="10"/>
          <w:lang w:val="en-US" w:eastAsia="zh-CN"/>
        </w:rPr>
        <w:t>/年的费率计提。H=E*</w:t>
      </w:r>
      <w:r>
        <w:rPr>
          <w:rFonts w:hint="eastAsia" w:ascii="仿宋" w:hAnsi="仿宋" w:eastAsia="仿宋" w:cs="仿宋"/>
          <w:color w:val="000000"/>
          <w:szCs w:val="21"/>
        </w:rPr>
        <w:t>0.6%</w:t>
      </w:r>
      <w:r>
        <w:rPr>
          <w:rFonts w:hint="eastAsia" w:asciiTheme="minorEastAsia" w:hAnsiTheme="minorEastAsia" w:eastAsiaTheme="minorEastAsia" w:cstheme="minorEastAsia"/>
          <w:color w:val="000000"/>
          <w:spacing w:val="10"/>
          <w:lang w:val="en-US" w:eastAsia="zh-CN"/>
        </w:rPr>
        <w:t>/当年天数，H为每日应计提的固定管理费，E为前一自然日产品资产净值；</w:t>
      </w:r>
    </w:p>
    <w:p>
      <w:pPr>
        <w:numPr>
          <w:ilvl w:val="0"/>
          <w:numId w:val="17"/>
        </w:numPr>
        <w:spacing w:line="360" w:lineRule="auto"/>
        <w:ind w:firstLine="460" w:firstLineChars="200"/>
        <w:rPr>
          <w:rFonts w:hint="eastAsia" w:asciiTheme="minorEastAsia" w:hAnsiTheme="minorEastAsia" w:eastAsiaTheme="minorEastAsia" w:cstheme="minorEastAsia"/>
          <w:color w:val="000000"/>
          <w:spacing w:val="10"/>
          <w:lang w:val="en-US" w:eastAsia="zh-CN"/>
        </w:rPr>
      </w:pPr>
      <w:r>
        <w:rPr>
          <w:rFonts w:hint="eastAsia" w:asciiTheme="minorEastAsia" w:hAnsiTheme="minorEastAsia" w:eastAsiaTheme="minorEastAsia" w:cstheme="minorEastAsia"/>
          <w:color w:val="000000"/>
          <w:spacing w:val="10"/>
          <w:lang w:val="en-US" w:eastAsia="zh-CN"/>
        </w:rPr>
        <w:t>托管费：本产品托管费按前一自然日产品资产净值的</w:t>
      </w:r>
      <w:r>
        <w:rPr>
          <w:rFonts w:hint="eastAsia" w:ascii="仿宋" w:hAnsi="仿宋" w:eastAsia="仿宋" w:cs="仿宋"/>
          <w:color w:val="000000"/>
          <w:szCs w:val="21"/>
        </w:rPr>
        <w:t>0.002%</w:t>
      </w:r>
      <w:r>
        <w:rPr>
          <w:rFonts w:hint="eastAsia" w:asciiTheme="minorEastAsia" w:hAnsiTheme="minorEastAsia" w:eastAsiaTheme="minorEastAsia" w:cstheme="minorEastAsia"/>
          <w:color w:val="000000"/>
          <w:spacing w:val="10"/>
          <w:lang w:val="en-US" w:eastAsia="zh-CN"/>
        </w:rPr>
        <w:t>/年的费率计提。H=E*</w:t>
      </w:r>
      <w:r>
        <w:rPr>
          <w:rFonts w:hint="eastAsia" w:ascii="仿宋" w:hAnsi="仿宋" w:eastAsia="仿宋" w:cs="仿宋"/>
          <w:color w:val="000000"/>
          <w:szCs w:val="21"/>
        </w:rPr>
        <w:t>0.002%</w:t>
      </w:r>
      <w:r>
        <w:rPr>
          <w:rFonts w:hint="eastAsia" w:asciiTheme="minorEastAsia" w:hAnsiTheme="minorEastAsia" w:eastAsiaTheme="minorEastAsia" w:cstheme="minorEastAsia"/>
          <w:color w:val="000000"/>
          <w:spacing w:val="10"/>
          <w:lang w:val="en-US" w:eastAsia="zh-CN"/>
        </w:rPr>
        <w:t>/当年天数，H为每日应计提的托管费，E为前一自然日产品资产净值；</w:t>
      </w:r>
    </w:p>
    <w:p>
      <w:pPr>
        <w:spacing w:line="360" w:lineRule="auto"/>
        <w:ind w:firstLine="538" w:firstLineChars="234"/>
        <w:rPr>
          <w:rFonts w:hint="eastAsia" w:asciiTheme="minorEastAsia" w:hAnsiTheme="minorEastAsia" w:eastAsiaTheme="minorEastAsia" w:cstheme="minorEastAsia"/>
          <w:color w:val="000000"/>
          <w:spacing w:val="10"/>
          <w:lang w:val="en-US" w:eastAsia="zh-CN"/>
        </w:rPr>
      </w:pPr>
      <w:r>
        <w:rPr>
          <w:rFonts w:hint="eastAsia" w:asciiTheme="minorEastAsia" w:hAnsiTheme="minorEastAsia" w:eastAsiaTheme="minorEastAsia" w:cstheme="minorEastAsia"/>
          <w:color w:val="000000"/>
          <w:spacing w:val="10"/>
          <w:lang w:val="en-US" w:eastAsia="zh-CN"/>
        </w:rPr>
        <w:t>浮动管理费：浮动管理费的计提可参考“（二）情景模拟”中的超额业绩报酬情景。</w:t>
      </w:r>
    </w:p>
    <w:p>
      <w:pPr>
        <w:numPr>
          <w:ilvl w:val="0"/>
          <w:numId w:val="16"/>
        </w:numPr>
        <w:spacing w:line="360" w:lineRule="auto"/>
        <w:ind w:firstLine="462" w:firstLineChars="200"/>
        <w:rPr>
          <w:rFonts w:hint="eastAsia" w:asciiTheme="minorEastAsia" w:hAnsiTheme="minorEastAsia" w:eastAsiaTheme="minorEastAsia" w:cstheme="minorEastAsia"/>
          <w:color w:val="000000"/>
          <w:spacing w:val="10"/>
          <w:lang w:val="en-US" w:eastAsia="zh-CN"/>
        </w:rPr>
      </w:pPr>
      <w:r>
        <w:rPr>
          <w:rFonts w:hint="eastAsia" w:asciiTheme="minorEastAsia" w:hAnsiTheme="minorEastAsia" w:eastAsiaTheme="minorEastAsia" w:cstheme="minorEastAsia"/>
          <w:b/>
          <w:bCs/>
          <w:color w:val="000000"/>
          <w:spacing w:val="10"/>
          <w:lang w:eastAsia="zh-CN"/>
        </w:rPr>
        <w:t>情景模拟</w:t>
      </w:r>
    </w:p>
    <w:p>
      <w:pPr>
        <w:spacing w:line="360" w:lineRule="auto"/>
        <w:ind w:firstLine="460" w:firstLineChars="200"/>
        <w:rPr>
          <w:rFonts w:ascii="宋体" w:hAnsi="宋体"/>
          <w:color w:val="000000"/>
          <w:spacing w:val="10"/>
        </w:rPr>
      </w:pPr>
      <w:r>
        <w:rPr>
          <w:rFonts w:hint="eastAsia" w:ascii="宋体" w:hAnsi="宋体"/>
          <w:color w:val="000000"/>
          <w:spacing w:val="10"/>
        </w:rPr>
        <w:t>情景模拟：（</w:t>
      </w:r>
      <w:r>
        <w:rPr>
          <w:rFonts w:hint="eastAsia" w:ascii="宋体" w:hAnsi="宋体"/>
          <w:b/>
          <w:color w:val="000000"/>
          <w:spacing w:val="10"/>
        </w:rPr>
        <w:t>以下情景分析采用假设数据计算，仅为举例之用，不作为最终收益的计算依据</w:t>
      </w:r>
      <w:r>
        <w:rPr>
          <w:rFonts w:hint="eastAsia" w:ascii="宋体" w:hAnsi="宋体"/>
          <w:color w:val="000000"/>
          <w:spacing w:val="10"/>
        </w:rPr>
        <w:t>）</w:t>
      </w:r>
    </w:p>
    <w:p>
      <w:pPr>
        <w:spacing w:line="360" w:lineRule="auto"/>
        <w:ind w:firstLine="538" w:firstLineChars="234"/>
        <w:rPr>
          <w:rFonts w:ascii="宋体" w:hAnsi="宋体"/>
          <w:color w:val="000000"/>
          <w:spacing w:val="10"/>
        </w:rPr>
      </w:pPr>
      <w:r>
        <w:rPr>
          <w:rFonts w:hint="eastAsia" w:ascii="宋体" w:hAnsi="宋体"/>
          <w:color w:val="000000"/>
          <w:spacing w:val="10"/>
        </w:rPr>
        <w:t>模拟情景一：</w:t>
      </w:r>
    </w:p>
    <w:p>
      <w:pPr>
        <w:spacing w:line="360" w:lineRule="auto"/>
        <w:ind w:firstLine="538" w:firstLineChars="234"/>
        <w:rPr>
          <w:rFonts w:ascii="宋体" w:hAnsi="宋体"/>
          <w:color w:val="000000"/>
          <w:spacing w:val="10"/>
        </w:rPr>
      </w:pPr>
      <w:r>
        <w:rPr>
          <w:rFonts w:hint="eastAsia" w:ascii="宋体" w:hAnsi="宋体"/>
          <w:color w:val="000000"/>
          <w:spacing w:val="10"/>
        </w:rPr>
        <w:t>若投资者于募集期内以10000元本金认购本金兰花汇富理财产品，假设产品期限为378天，业绩比较基准为4.15%</w:t>
      </w:r>
      <w:r>
        <w:rPr>
          <w:rFonts w:hint="eastAsia" w:ascii="宋体" w:hAnsi="宋体"/>
          <w:color w:val="000000"/>
          <w:spacing w:val="10"/>
          <w:lang w:val="en-US" w:eastAsia="zh-CN"/>
        </w:rPr>
        <w:t>-4.25%</w:t>
      </w:r>
      <w:r>
        <w:rPr>
          <w:rFonts w:hint="eastAsia" w:ascii="宋体" w:hAnsi="宋体"/>
          <w:color w:val="000000"/>
          <w:spacing w:val="10"/>
        </w:rPr>
        <w:t>，产品成立日单位净值为1，投资者确认份额=10000元/（1元/份）=10000份。假定在扣除合同约定的各项费用之后（超额业绩报酬除外），产品到期日单位净值为1.06182515，此净值折算的年化收益率为：（1.06182515-1）/1*365/378=5.9699%&gt;4.15%。</w:t>
      </w:r>
    </w:p>
    <w:p>
      <w:pPr>
        <w:spacing w:line="360" w:lineRule="auto"/>
        <w:ind w:firstLine="538" w:firstLineChars="234"/>
        <w:rPr>
          <w:rFonts w:ascii="宋体" w:hAnsi="宋体"/>
          <w:color w:val="000000"/>
          <w:spacing w:val="10"/>
        </w:rPr>
      </w:pPr>
      <w:r>
        <w:rPr>
          <w:rFonts w:hint="eastAsia" w:ascii="宋体" w:hAnsi="宋体"/>
          <w:color w:val="000000"/>
          <w:spacing w:val="10"/>
        </w:rPr>
        <w:t>则绍兴银行将对超过业绩比较基准的收益收取超额业绩报酬，超额业绩报酬为：</w:t>
      </w:r>
    </w:p>
    <w:p>
      <w:pPr>
        <w:spacing w:line="360" w:lineRule="auto"/>
        <w:rPr>
          <w:rFonts w:ascii="宋体" w:hAnsi="宋体"/>
          <w:color w:val="000000"/>
          <w:spacing w:val="10"/>
        </w:rPr>
      </w:pPr>
      <w:r>
        <w:rPr>
          <w:rFonts w:hint="eastAsia" w:ascii="宋体" w:hAnsi="宋体"/>
          <w:color w:val="000000"/>
          <w:spacing w:val="10"/>
        </w:rPr>
        <w:t>10000*（1.06182515-1*(1+4.15%*378/365)）*95%=179.04元。</w:t>
      </w:r>
    </w:p>
    <w:p>
      <w:pPr>
        <w:spacing w:line="360" w:lineRule="auto"/>
        <w:ind w:firstLine="538" w:firstLineChars="234"/>
        <w:rPr>
          <w:rFonts w:ascii="宋体" w:hAnsi="宋体"/>
          <w:color w:val="000000"/>
          <w:spacing w:val="10"/>
        </w:rPr>
      </w:pPr>
      <w:r>
        <w:rPr>
          <w:rFonts w:hint="eastAsia" w:ascii="宋体" w:hAnsi="宋体"/>
          <w:color w:val="000000"/>
          <w:spacing w:val="10"/>
        </w:rPr>
        <w:t>绍兴银行将于到期日后2个工作日内兑付投资者全部份额，投资者收到的款项=10000份*1.06182515元/份-179.04元=10439.21元。</w:t>
      </w:r>
    </w:p>
    <w:p>
      <w:pPr>
        <w:spacing w:line="360" w:lineRule="auto"/>
        <w:ind w:firstLine="538" w:firstLineChars="234"/>
        <w:rPr>
          <w:rFonts w:ascii="宋体" w:hAnsi="宋体"/>
          <w:color w:val="000000"/>
          <w:spacing w:val="10"/>
        </w:rPr>
      </w:pPr>
      <w:r>
        <w:rPr>
          <w:rFonts w:hint="eastAsia" w:ascii="宋体" w:hAnsi="宋体"/>
          <w:color w:val="000000"/>
          <w:spacing w:val="10"/>
        </w:rPr>
        <w:t>投资者实际年化收益率：439.21/10000*365/378*100%=4.2410%。</w:t>
      </w:r>
    </w:p>
    <w:p>
      <w:pPr>
        <w:spacing w:line="360" w:lineRule="auto"/>
        <w:ind w:firstLine="538" w:firstLineChars="234"/>
        <w:rPr>
          <w:rFonts w:ascii="宋体" w:hAnsi="宋体"/>
          <w:color w:val="000000"/>
          <w:spacing w:val="10"/>
        </w:rPr>
      </w:pPr>
      <w:r>
        <w:rPr>
          <w:rFonts w:hint="eastAsia" w:ascii="宋体" w:hAnsi="宋体"/>
          <w:color w:val="000000"/>
          <w:spacing w:val="10"/>
        </w:rPr>
        <w:t>模拟情景二：</w:t>
      </w:r>
    </w:p>
    <w:p>
      <w:pPr>
        <w:spacing w:line="360" w:lineRule="auto"/>
        <w:ind w:firstLine="538" w:firstLineChars="234"/>
        <w:rPr>
          <w:rFonts w:ascii="宋体" w:hAnsi="宋体"/>
          <w:color w:val="000000"/>
          <w:spacing w:val="10"/>
        </w:rPr>
      </w:pPr>
      <w:r>
        <w:rPr>
          <w:rFonts w:hint="eastAsia" w:ascii="宋体" w:hAnsi="宋体"/>
          <w:color w:val="000000"/>
          <w:spacing w:val="10"/>
        </w:rPr>
        <w:t>若投资者于募集期内以10000元本金认购本理财产品,假设产品期限为378天，业绩比较基准为4.15%</w:t>
      </w:r>
      <w:r>
        <w:rPr>
          <w:rFonts w:hint="eastAsia" w:ascii="宋体" w:hAnsi="宋体"/>
          <w:color w:val="000000"/>
          <w:spacing w:val="10"/>
          <w:lang w:val="en-US" w:eastAsia="zh-CN"/>
        </w:rPr>
        <w:t>-4.25%</w:t>
      </w:r>
      <w:r>
        <w:rPr>
          <w:rFonts w:hint="eastAsia" w:ascii="宋体" w:hAnsi="宋体"/>
          <w:color w:val="000000"/>
          <w:spacing w:val="10"/>
        </w:rPr>
        <w:t>，产品成立日单位净值为1，投资者确认份额=10000元/（1元/份）=10000份。假定在扣除合同约定的各项费用之后（超额业绩报酬除外），产品到期日单位净值为1.03125561，此净值折算的年化收益率为：（1.03125561-1）/1*365/378=3.0181%&lt;4.15%。</w:t>
      </w:r>
    </w:p>
    <w:p>
      <w:pPr>
        <w:spacing w:line="360" w:lineRule="auto"/>
        <w:ind w:firstLine="460" w:firstLineChars="200"/>
        <w:rPr>
          <w:rFonts w:ascii="宋体" w:hAnsi="宋体"/>
          <w:color w:val="000000"/>
          <w:spacing w:val="10"/>
        </w:rPr>
      </w:pPr>
      <w:r>
        <w:rPr>
          <w:rFonts w:hint="eastAsia" w:ascii="宋体" w:hAnsi="宋体"/>
          <w:color w:val="000000"/>
          <w:spacing w:val="10"/>
        </w:rPr>
        <w:t>由于上述模拟年化收益率未达到业绩比较基准，绍兴银行将不收取超额业绩报酬。绍兴银行将于到期日后2个工作日内兑付投资者全部份额，投资者收到的款项=10000份*1.03125561元/份=10431.55 元。投资者实际年化收益率为3.0181%。</w:t>
      </w:r>
    </w:p>
    <w:p>
      <w:pPr>
        <w:spacing w:line="360" w:lineRule="auto"/>
        <w:ind w:firstLine="538" w:firstLineChars="234"/>
        <w:rPr>
          <w:rFonts w:ascii="宋体" w:hAnsi="宋体"/>
          <w:color w:val="000000"/>
          <w:spacing w:val="10"/>
        </w:rPr>
      </w:pPr>
      <w:r>
        <w:rPr>
          <w:rFonts w:hint="eastAsia" w:ascii="宋体" w:hAnsi="宋体"/>
          <w:color w:val="000000"/>
          <w:spacing w:val="10"/>
        </w:rPr>
        <w:t>模拟情景三：</w:t>
      </w:r>
    </w:p>
    <w:p>
      <w:pPr>
        <w:spacing w:line="360" w:lineRule="auto"/>
        <w:ind w:firstLine="538" w:firstLineChars="234"/>
        <w:rPr>
          <w:rFonts w:ascii="宋体" w:hAnsi="宋体"/>
          <w:color w:val="000000"/>
          <w:spacing w:val="10"/>
        </w:rPr>
      </w:pPr>
      <w:r>
        <w:rPr>
          <w:rFonts w:hint="eastAsia" w:ascii="宋体" w:hAnsi="宋体"/>
          <w:color w:val="000000"/>
          <w:spacing w:val="10"/>
        </w:rPr>
        <w:t>若投资者于募集期内以10000元本金认购本理财产品,假设产品期限为378天，业绩比较基准为4.15%</w:t>
      </w:r>
      <w:r>
        <w:rPr>
          <w:rFonts w:hint="eastAsia" w:ascii="宋体" w:hAnsi="宋体"/>
          <w:color w:val="000000"/>
          <w:spacing w:val="10"/>
          <w:lang w:val="en-US" w:eastAsia="zh-CN"/>
        </w:rPr>
        <w:t>-4.25%</w:t>
      </w:r>
      <w:r>
        <w:rPr>
          <w:rFonts w:hint="eastAsia" w:ascii="宋体" w:hAnsi="宋体"/>
          <w:color w:val="000000"/>
          <w:spacing w:val="10"/>
        </w:rPr>
        <w:t>，产品成立日单位净值为1，投资者确认份额=10000元/（1元/份）=10000份。假定在扣除合同约定的各项费用之后（超额业绩报酬除外），产品到期日单位净值为0.99102561，此净值折算的年化收益率为：（0.99102561-1）/1*365/378=-0.867%。</w:t>
      </w:r>
    </w:p>
    <w:p>
      <w:pPr>
        <w:spacing w:line="360" w:lineRule="auto"/>
        <w:ind w:firstLine="460" w:firstLineChars="200"/>
        <w:rPr>
          <w:rFonts w:ascii="宋体" w:hAnsi="宋体"/>
          <w:color w:val="000000"/>
          <w:spacing w:val="10"/>
        </w:rPr>
      </w:pPr>
      <w:r>
        <w:rPr>
          <w:rFonts w:hint="eastAsia" w:ascii="宋体" w:hAnsi="宋体"/>
          <w:color w:val="000000"/>
          <w:spacing w:val="10"/>
        </w:rPr>
        <w:t>绍兴银行将于到期日后2个工作日内按照实际净值兑付投资者全部份额，投资者收到的款项=10000份*0.99102561元/份=9910.26元。投资者实际年化收益率为-0.867%。</w:t>
      </w:r>
    </w:p>
    <w:p>
      <w:pPr>
        <w:spacing w:line="360" w:lineRule="auto"/>
        <w:ind w:firstLine="540" w:firstLineChars="234"/>
        <w:rPr>
          <w:rFonts w:ascii="宋体" w:hAnsi="宋体"/>
          <w:color w:val="000000"/>
          <w:spacing w:val="10"/>
        </w:rPr>
      </w:pPr>
      <w:r>
        <w:rPr>
          <w:rFonts w:hint="eastAsia" w:ascii="宋体" w:hAnsi="宋体"/>
          <w:b/>
          <w:color w:val="000000"/>
          <w:spacing w:val="10"/>
        </w:rPr>
        <w:t>该情景模拟数据仅供投资者购买时参考，并不代表该理财产品未来的表现，也不构成绍兴银行对本产品收益的任何承诺或保证。</w:t>
      </w:r>
    </w:p>
    <w:p>
      <w:pPr>
        <w:numPr>
          <w:ilvl w:val="0"/>
          <w:numId w:val="14"/>
        </w:numPr>
        <w:spacing w:line="360" w:lineRule="auto"/>
        <w:rPr>
          <w:rFonts w:ascii="宋体"/>
          <w:b/>
          <w:bCs/>
          <w:color w:val="000000"/>
          <w:spacing w:val="10"/>
        </w:rPr>
      </w:pPr>
      <w:r>
        <w:rPr>
          <w:rFonts w:hint="eastAsia" w:ascii="宋体" w:hAnsi="宋体"/>
          <w:b/>
          <w:bCs/>
          <w:color w:val="000000"/>
          <w:spacing w:val="10"/>
        </w:rPr>
        <w:t>理财产品估值</w:t>
      </w:r>
    </w:p>
    <w:p>
      <w:pPr>
        <w:numPr>
          <w:ilvl w:val="0"/>
          <w:numId w:val="18"/>
        </w:numPr>
        <w:spacing w:line="360" w:lineRule="auto"/>
        <w:ind w:firstLine="460" w:firstLineChars="200"/>
        <w:rPr>
          <w:rFonts w:ascii="宋体"/>
          <w:color w:val="000000"/>
          <w:spacing w:val="10"/>
        </w:rPr>
      </w:pPr>
      <w:r>
        <w:rPr>
          <w:rFonts w:hint="eastAsia" w:ascii="宋体" w:hAnsi="宋体"/>
          <w:color w:val="000000"/>
          <w:spacing w:val="10"/>
        </w:rPr>
        <w:t>估值对象</w:t>
      </w:r>
    </w:p>
    <w:p>
      <w:pPr>
        <w:spacing w:line="360" w:lineRule="auto"/>
        <w:ind w:firstLine="538" w:firstLineChars="234"/>
        <w:rPr>
          <w:rFonts w:ascii="宋体"/>
          <w:color w:val="000000"/>
          <w:spacing w:val="10"/>
        </w:rPr>
      </w:pPr>
      <w:r>
        <w:rPr>
          <w:rFonts w:hint="eastAsia" w:ascii="宋体"/>
          <w:color w:val="000000"/>
          <w:spacing w:val="10"/>
        </w:rPr>
        <w:t>估值对象为本产品所拥有的全部资产。</w:t>
      </w:r>
    </w:p>
    <w:p>
      <w:pPr>
        <w:numPr>
          <w:ilvl w:val="0"/>
          <w:numId w:val="18"/>
        </w:numPr>
        <w:spacing w:line="360" w:lineRule="auto"/>
        <w:ind w:firstLine="460" w:firstLineChars="200"/>
        <w:rPr>
          <w:rFonts w:ascii="宋体"/>
          <w:color w:val="000000"/>
          <w:spacing w:val="10"/>
        </w:rPr>
      </w:pPr>
      <w:r>
        <w:rPr>
          <w:rFonts w:hint="eastAsia" w:ascii="宋体" w:hAnsi="宋体"/>
          <w:color w:val="000000"/>
          <w:spacing w:val="10"/>
        </w:rPr>
        <w:t>估值日</w:t>
      </w:r>
    </w:p>
    <w:p>
      <w:pPr>
        <w:spacing w:line="360" w:lineRule="auto"/>
        <w:ind w:firstLine="535" w:firstLineChars="233"/>
        <w:rPr>
          <w:rFonts w:ascii="宋体"/>
          <w:color w:val="000000"/>
          <w:spacing w:val="10"/>
        </w:rPr>
      </w:pPr>
      <w:r>
        <w:rPr>
          <w:rFonts w:hint="eastAsia" w:ascii="宋体"/>
          <w:color w:val="000000"/>
          <w:spacing w:val="10"/>
        </w:rPr>
        <w:t>本产品存续期内每个工作日均为估值日，</w:t>
      </w:r>
      <w:r>
        <w:rPr>
          <w:rFonts w:ascii="宋体" w:hAnsi="宋体" w:eastAsia="宋体" w:cs="宋体"/>
          <w:sz w:val="24"/>
          <w:szCs w:val="24"/>
        </w:rPr>
        <w:t>绍兴银行于每周五计算当日产品净值，并于下周一或下周一前对外公布</w:t>
      </w:r>
      <w:r>
        <w:rPr>
          <w:rFonts w:hint="eastAsia" w:ascii="宋体"/>
          <w:color w:val="000000"/>
          <w:spacing w:val="10"/>
        </w:rPr>
        <w:t>。首次净值披露日为</w:t>
      </w:r>
      <w:r>
        <w:rPr>
          <w:rFonts w:ascii="宋体"/>
          <w:color w:val="000000"/>
          <w:spacing w:val="10"/>
        </w:rPr>
        <w:t>2025年9月26日</w:t>
      </w:r>
      <w:r>
        <w:rPr>
          <w:rFonts w:hint="eastAsia" w:ascii="宋体"/>
          <w:color w:val="000000"/>
          <w:spacing w:val="10"/>
        </w:rPr>
        <w:t>。</w:t>
      </w:r>
    </w:p>
    <w:p>
      <w:pPr>
        <w:numPr>
          <w:ilvl w:val="0"/>
          <w:numId w:val="18"/>
        </w:numPr>
        <w:spacing w:line="360" w:lineRule="auto"/>
        <w:ind w:firstLine="460" w:firstLineChars="200"/>
        <w:rPr>
          <w:rFonts w:ascii="宋体"/>
          <w:color w:val="000000"/>
          <w:spacing w:val="10"/>
        </w:rPr>
      </w:pPr>
      <w:r>
        <w:rPr>
          <w:rFonts w:hint="eastAsia" w:ascii="宋体" w:hAnsi="宋体"/>
          <w:color w:val="000000"/>
          <w:spacing w:val="10"/>
        </w:rPr>
        <w:t>估值方法</w:t>
      </w:r>
    </w:p>
    <w:p>
      <w:pPr>
        <w:numPr>
          <w:ilvl w:val="0"/>
          <w:numId w:val="19"/>
        </w:numPr>
        <w:spacing w:line="360" w:lineRule="auto"/>
        <w:ind w:left="0" w:firstLine="420" w:firstLineChars="200"/>
        <w:rPr>
          <w:rFonts w:ascii="宋体" w:hAnsi="宋体" w:cs="宋体"/>
          <w:color w:val="000000"/>
          <w:szCs w:val="21"/>
        </w:rPr>
      </w:pPr>
      <w:r>
        <w:rPr>
          <w:rFonts w:hint="eastAsia" w:ascii="宋体" w:hAnsi="宋体" w:cs="宋体"/>
          <w:color w:val="000000"/>
          <w:szCs w:val="21"/>
        </w:rPr>
        <w:t>债券、同业存单：</w:t>
      </w:r>
    </w:p>
    <w:p>
      <w:pPr>
        <w:spacing w:line="360" w:lineRule="auto"/>
        <w:ind w:firstLine="489" w:firstLineChars="233"/>
        <w:rPr>
          <w:rFonts w:ascii="宋体" w:hAnsi="宋体" w:cs="宋体"/>
          <w:color w:val="000000"/>
          <w:szCs w:val="21"/>
        </w:rPr>
      </w:pPr>
      <w:r>
        <w:rPr>
          <w:rFonts w:hint="eastAsia" w:ascii="宋体" w:hAnsi="宋体" w:cs="宋体"/>
          <w:color w:val="000000"/>
          <w:szCs w:val="21"/>
        </w:rPr>
        <w:t>以收取合同现金流量为目的并持有到期的，以摊余成本法进行估值（需满足监管规定，如有调整，按照监管的最新规定执行）；</w:t>
      </w:r>
    </w:p>
    <w:p>
      <w:pPr>
        <w:spacing w:line="360" w:lineRule="auto"/>
        <w:ind w:firstLine="489" w:firstLineChars="233"/>
        <w:rPr>
          <w:rFonts w:ascii="宋体" w:hAnsi="宋体" w:cs="宋体"/>
          <w:color w:val="000000"/>
          <w:szCs w:val="21"/>
        </w:rPr>
      </w:pPr>
      <w:r>
        <w:rPr>
          <w:rFonts w:hint="eastAsia" w:ascii="宋体" w:hAnsi="宋体" w:cs="宋体"/>
          <w:color w:val="000000"/>
          <w:szCs w:val="21"/>
        </w:rPr>
        <w:t>以交易为目的的，按第三方估值机构提供的估值数据进行估值，具体第三方估值机构由管理人和托管行具体协商确定。</w:t>
      </w:r>
    </w:p>
    <w:p>
      <w:pPr>
        <w:numPr>
          <w:ilvl w:val="0"/>
          <w:numId w:val="19"/>
        </w:numPr>
        <w:spacing w:line="360" w:lineRule="auto"/>
        <w:ind w:left="0" w:firstLine="420" w:firstLineChars="200"/>
        <w:rPr>
          <w:rFonts w:ascii="宋体" w:hAnsi="宋体" w:cs="宋体"/>
          <w:color w:val="000000"/>
          <w:szCs w:val="21"/>
        </w:rPr>
      </w:pPr>
      <w:r>
        <w:rPr>
          <w:rFonts w:hint="eastAsia" w:ascii="宋体" w:hAnsi="宋体" w:cs="宋体"/>
          <w:color w:val="000000"/>
          <w:szCs w:val="21"/>
        </w:rPr>
        <w:t>银行存款：</w:t>
      </w:r>
    </w:p>
    <w:p>
      <w:pPr>
        <w:spacing w:line="360" w:lineRule="auto"/>
        <w:ind w:firstLine="489" w:firstLineChars="233"/>
        <w:rPr>
          <w:rFonts w:ascii="宋体" w:hAnsi="宋体" w:cs="宋体"/>
          <w:color w:val="000000"/>
          <w:szCs w:val="21"/>
        </w:rPr>
      </w:pPr>
      <w:r>
        <w:rPr>
          <w:rFonts w:hint="eastAsia" w:ascii="宋体" w:hAnsi="宋体" w:cs="宋体"/>
          <w:color w:val="000000"/>
          <w:szCs w:val="21"/>
        </w:rPr>
        <w:t>以本金列示，按协议或合同利率逐日确认利息收入。</w:t>
      </w:r>
    </w:p>
    <w:p>
      <w:pPr>
        <w:numPr>
          <w:ilvl w:val="0"/>
          <w:numId w:val="19"/>
        </w:numPr>
        <w:spacing w:line="360" w:lineRule="auto"/>
        <w:ind w:left="0" w:firstLine="420" w:firstLineChars="200"/>
        <w:rPr>
          <w:rFonts w:ascii="宋体" w:hAnsi="宋体" w:cs="宋体"/>
          <w:color w:val="000000"/>
          <w:szCs w:val="21"/>
        </w:rPr>
      </w:pPr>
      <w:r>
        <w:rPr>
          <w:rFonts w:hint="eastAsia" w:ascii="宋体" w:hAnsi="宋体" w:cs="宋体"/>
          <w:color w:val="000000"/>
          <w:szCs w:val="21"/>
        </w:rPr>
        <w:t>货币基金：</w:t>
      </w:r>
    </w:p>
    <w:p>
      <w:pPr>
        <w:spacing w:line="360" w:lineRule="auto"/>
        <w:ind w:firstLine="489" w:firstLineChars="233"/>
        <w:rPr>
          <w:rFonts w:ascii="宋体" w:hAnsi="宋体" w:cs="宋体"/>
          <w:color w:val="000000"/>
          <w:szCs w:val="21"/>
        </w:rPr>
      </w:pPr>
      <w:r>
        <w:rPr>
          <w:rFonts w:hint="eastAsia" w:ascii="宋体" w:hAnsi="宋体" w:cs="宋体"/>
          <w:color w:val="000000"/>
          <w:szCs w:val="21"/>
        </w:rPr>
        <w:t>以公布的估值日前一交易日的每万份收益计算。</w:t>
      </w:r>
    </w:p>
    <w:p>
      <w:pPr>
        <w:numPr>
          <w:ilvl w:val="0"/>
          <w:numId w:val="19"/>
        </w:numPr>
        <w:spacing w:line="360" w:lineRule="auto"/>
        <w:ind w:left="0" w:firstLine="420" w:firstLineChars="200"/>
        <w:rPr>
          <w:rFonts w:ascii="宋体" w:hAnsi="宋体" w:cs="宋体"/>
          <w:color w:val="000000"/>
          <w:szCs w:val="21"/>
        </w:rPr>
      </w:pPr>
      <w:r>
        <w:rPr>
          <w:rFonts w:hint="eastAsia" w:ascii="宋体" w:hAnsi="宋体" w:cs="宋体"/>
          <w:color w:val="000000"/>
          <w:szCs w:val="21"/>
        </w:rPr>
        <w:t>交易所基金：</w:t>
      </w:r>
    </w:p>
    <w:p>
      <w:pPr>
        <w:spacing w:line="360" w:lineRule="auto"/>
        <w:ind w:firstLine="489" w:firstLineChars="233"/>
        <w:rPr>
          <w:rFonts w:ascii="宋体" w:hAnsi="宋体" w:cs="宋体"/>
          <w:color w:val="000000"/>
          <w:szCs w:val="21"/>
        </w:rPr>
      </w:pPr>
      <w:r>
        <w:rPr>
          <w:rFonts w:hint="eastAsia" w:ascii="宋体" w:hAnsi="宋体" w:cs="宋体"/>
          <w:color w:val="000000"/>
          <w:szCs w:val="21"/>
        </w:rPr>
        <w:t>按估值日其所在证券交易所的收盘价估值；估值日无交易的，以最近交易日的收盘价估值。</w:t>
      </w:r>
    </w:p>
    <w:p>
      <w:pPr>
        <w:numPr>
          <w:ilvl w:val="0"/>
          <w:numId w:val="19"/>
        </w:numPr>
        <w:spacing w:line="360" w:lineRule="auto"/>
        <w:ind w:left="0" w:firstLine="420" w:firstLineChars="200"/>
        <w:rPr>
          <w:rFonts w:ascii="宋体" w:hAnsi="宋体" w:cs="宋体"/>
          <w:color w:val="000000"/>
          <w:szCs w:val="21"/>
        </w:rPr>
      </w:pPr>
      <w:r>
        <w:rPr>
          <w:rFonts w:hint="eastAsia" w:ascii="宋体" w:hAnsi="宋体" w:cs="宋体"/>
          <w:color w:val="000000"/>
          <w:szCs w:val="21"/>
        </w:rPr>
        <w:t>场外基金：</w:t>
      </w:r>
    </w:p>
    <w:p>
      <w:pPr>
        <w:spacing w:line="360" w:lineRule="auto"/>
        <w:ind w:firstLine="489" w:firstLineChars="233"/>
        <w:rPr>
          <w:rFonts w:ascii="宋体" w:hAnsi="宋体" w:cs="宋体"/>
          <w:color w:val="000000"/>
          <w:szCs w:val="21"/>
        </w:rPr>
      </w:pPr>
      <w:r>
        <w:rPr>
          <w:rFonts w:hint="eastAsia" w:ascii="宋体" w:hAnsi="宋体" w:cs="宋体"/>
          <w:color w:val="000000"/>
          <w:szCs w:val="21"/>
        </w:rPr>
        <w:t>按估值日前一交易日的基金份额净值估值；估值日前一交易日基金份额净值无公布的，按此前最近交易日的基金份额净值估值。</w:t>
      </w:r>
    </w:p>
    <w:p>
      <w:pPr>
        <w:numPr>
          <w:ilvl w:val="0"/>
          <w:numId w:val="19"/>
        </w:numPr>
        <w:spacing w:line="360" w:lineRule="auto"/>
        <w:ind w:left="0" w:firstLine="420" w:firstLineChars="200"/>
        <w:rPr>
          <w:rFonts w:ascii="宋体" w:hAnsi="宋体" w:cs="宋体"/>
          <w:color w:val="000000"/>
          <w:szCs w:val="21"/>
        </w:rPr>
      </w:pPr>
      <w:r>
        <w:rPr>
          <w:rFonts w:hint="eastAsia" w:ascii="宋体" w:hAnsi="宋体" w:cs="宋体"/>
          <w:color w:val="000000"/>
          <w:szCs w:val="21"/>
        </w:rPr>
        <w:t>债券回购和具有固定回报的买入返售金融资产：</w:t>
      </w:r>
    </w:p>
    <w:p>
      <w:pPr>
        <w:spacing w:line="360" w:lineRule="auto"/>
        <w:ind w:firstLine="489" w:firstLineChars="233"/>
        <w:rPr>
          <w:rFonts w:ascii="宋体" w:hAnsi="宋体" w:cs="宋体"/>
          <w:color w:val="000000"/>
          <w:szCs w:val="21"/>
        </w:rPr>
      </w:pPr>
      <w:r>
        <w:rPr>
          <w:rFonts w:hint="eastAsia" w:ascii="宋体" w:hAnsi="宋体" w:cs="宋体"/>
          <w:color w:val="000000"/>
          <w:szCs w:val="21"/>
        </w:rPr>
        <w:t>以成本列示，按约定收益率逐日计提收益/成本。</w:t>
      </w:r>
    </w:p>
    <w:p>
      <w:pPr>
        <w:numPr>
          <w:ilvl w:val="0"/>
          <w:numId w:val="19"/>
        </w:numPr>
        <w:spacing w:line="360" w:lineRule="auto"/>
        <w:ind w:left="0" w:firstLine="420" w:firstLineChars="200"/>
        <w:rPr>
          <w:rFonts w:ascii="宋体" w:hAnsi="宋体" w:cs="宋体"/>
          <w:color w:val="000000"/>
          <w:szCs w:val="21"/>
        </w:rPr>
      </w:pPr>
      <w:r>
        <w:rPr>
          <w:rFonts w:hint="eastAsia" w:ascii="宋体" w:hAnsi="宋体" w:cs="宋体"/>
          <w:color w:val="000000"/>
          <w:szCs w:val="21"/>
        </w:rPr>
        <w:t>其他资产：有明确收益率的，按实际持有期间逐日计提收益；如为公布净值的资产，按最新净值估值（该日无交易的，以最近一交易日的净值计算）。</w:t>
      </w:r>
    </w:p>
    <w:p>
      <w:pPr>
        <w:numPr>
          <w:ilvl w:val="0"/>
          <w:numId w:val="19"/>
        </w:numPr>
        <w:spacing w:line="360" w:lineRule="auto"/>
        <w:ind w:left="0" w:firstLine="420" w:firstLineChars="200"/>
        <w:rPr>
          <w:rFonts w:ascii="宋体" w:hAnsi="宋体" w:cs="宋体"/>
          <w:color w:val="000000"/>
          <w:szCs w:val="21"/>
        </w:rPr>
      </w:pPr>
      <w:r>
        <w:rPr>
          <w:rFonts w:hint="eastAsia" w:ascii="宋体" w:hAnsi="宋体" w:cs="宋体"/>
          <w:color w:val="000000"/>
          <w:szCs w:val="21"/>
        </w:rPr>
        <w:t>资产管理产品：以资产管理产品合同约定的估值方法进行估值。</w:t>
      </w:r>
    </w:p>
    <w:p>
      <w:pPr>
        <w:numPr>
          <w:ilvl w:val="0"/>
          <w:numId w:val="19"/>
        </w:numPr>
        <w:spacing w:line="360" w:lineRule="auto"/>
        <w:ind w:left="0" w:firstLine="420" w:firstLineChars="200"/>
        <w:rPr>
          <w:rFonts w:ascii="宋体" w:hAnsi="宋体" w:cs="宋体"/>
          <w:color w:val="000000"/>
          <w:szCs w:val="21"/>
        </w:rPr>
      </w:pPr>
      <w:r>
        <w:rPr>
          <w:rFonts w:hint="eastAsia" w:ascii="宋体" w:hAnsi="宋体" w:cs="宋体"/>
          <w:color w:val="000000"/>
          <w:szCs w:val="21"/>
        </w:rPr>
        <w:t>如有新增事项或变更事项，按国家最新规定或理财计划管理人最新约定估值。</w:t>
      </w:r>
    </w:p>
    <w:p>
      <w:pPr>
        <w:numPr>
          <w:ilvl w:val="0"/>
          <w:numId w:val="19"/>
        </w:numPr>
        <w:spacing w:line="360" w:lineRule="auto"/>
        <w:ind w:left="0" w:firstLine="420" w:firstLineChars="200"/>
        <w:rPr>
          <w:rFonts w:ascii="宋体" w:hAnsi="宋体" w:cs="宋体"/>
          <w:color w:val="000000"/>
          <w:szCs w:val="21"/>
        </w:rPr>
      </w:pPr>
      <w:r>
        <w:rPr>
          <w:rFonts w:hint="eastAsia" w:ascii="宋体" w:hAnsi="宋体" w:cs="宋体"/>
          <w:color w:val="000000"/>
          <w:szCs w:val="21"/>
        </w:rPr>
        <w:t>暂停估值的情形：理财计划投资所涉及的证券交易所遇法定节假日或其它原因暂停营业时，或因其它任何不可抗力致使管理人无法准确评估理财计划资产价值时，可暂停估值。但估值条件恢复时，管理人必须按规定完成估值工作。</w:t>
      </w:r>
    </w:p>
    <w:p>
      <w:pPr>
        <w:numPr>
          <w:ilvl w:val="0"/>
          <w:numId w:val="19"/>
        </w:numPr>
        <w:spacing w:line="360" w:lineRule="auto"/>
        <w:ind w:left="0" w:firstLine="420" w:firstLineChars="200"/>
        <w:rPr>
          <w:rFonts w:ascii="宋体" w:hAnsi="宋体" w:cs="宋体"/>
          <w:color w:val="000000"/>
          <w:spacing w:val="10"/>
        </w:rPr>
      </w:pPr>
      <w:r>
        <w:rPr>
          <w:rFonts w:hint="eastAsia" w:ascii="宋体" w:hAnsi="宋体" w:cs="宋体"/>
          <w:color w:val="000000"/>
          <w:szCs w:val="21"/>
        </w:rPr>
        <w:t>估值由绍兴银行负责完成，绍兴银行按以上估值方法的第1—8项进行估值时，所造成的误差不作为理财计划单位资产净值错误处理。</w:t>
      </w:r>
    </w:p>
    <w:p>
      <w:pPr>
        <w:numPr>
          <w:ilvl w:val="0"/>
          <w:numId w:val="19"/>
        </w:numPr>
        <w:spacing w:line="360" w:lineRule="auto"/>
        <w:ind w:left="0" w:firstLine="420" w:firstLineChars="200"/>
        <w:rPr>
          <w:rFonts w:ascii="宋体" w:hAnsi="宋体" w:cs="宋体"/>
          <w:color w:val="000000"/>
          <w:spacing w:val="10"/>
        </w:rPr>
      </w:pPr>
      <w:r>
        <w:rPr>
          <w:rFonts w:hint="eastAsia" w:ascii="宋体" w:hAnsi="宋体" w:cs="宋体"/>
          <w:color w:val="000000"/>
          <w:szCs w:val="21"/>
        </w:rPr>
        <w:t>如有确凿证据表明按上述方法进行估值不能客观反映其公允价值的，资产管理人可根据具体情况与资产托管人商定后，按最能反映公允价值的价格估值。</w:t>
      </w:r>
    </w:p>
    <w:p>
      <w:pPr>
        <w:numPr>
          <w:ilvl w:val="0"/>
          <w:numId w:val="19"/>
        </w:numPr>
        <w:spacing w:line="360" w:lineRule="auto"/>
        <w:ind w:left="0" w:firstLine="420" w:firstLineChars="200"/>
        <w:rPr>
          <w:rFonts w:ascii="宋体" w:hAnsi="宋体" w:cs="宋体"/>
          <w:color w:val="000000"/>
          <w:spacing w:val="10"/>
        </w:rPr>
      </w:pPr>
      <w:r>
        <w:rPr>
          <w:rFonts w:hint="eastAsia" w:ascii="宋体" w:hAnsi="宋体" w:cs="宋体"/>
          <w:color w:val="000000"/>
          <w:szCs w:val="21"/>
        </w:rPr>
        <w:t>相关法律法规以及监管部门有强制规定的，从其规定。如有新增事项，按国家最新规定估值。</w:t>
      </w:r>
    </w:p>
    <w:p>
      <w:pPr>
        <w:numPr>
          <w:ilvl w:val="0"/>
          <w:numId w:val="18"/>
        </w:numPr>
        <w:spacing w:line="360" w:lineRule="auto"/>
        <w:ind w:firstLine="460" w:firstLineChars="200"/>
        <w:rPr>
          <w:rFonts w:ascii="宋体"/>
          <w:color w:val="000000"/>
          <w:spacing w:val="10"/>
        </w:rPr>
      </w:pPr>
      <w:r>
        <w:rPr>
          <w:rFonts w:hint="eastAsia" w:ascii="宋体"/>
          <w:color w:val="000000"/>
          <w:spacing w:val="10"/>
        </w:rPr>
        <w:t>估值程序</w:t>
      </w:r>
    </w:p>
    <w:p>
      <w:pPr>
        <w:spacing w:line="360" w:lineRule="auto"/>
        <w:ind w:firstLine="535" w:firstLineChars="233"/>
        <w:rPr>
          <w:rFonts w:ascii="宋体" w:hAnsi="宋体"/>
          <w:color w:val="000000"/>
          <w:spacing w:val="10"/>
        </w:rPr>
      </w:pPr>
      <w:r>
        <w:rPr>
          <w:rFonts w:hint="eastAsia" w:ascii="宋体"/>
          <w:color w:val="000000"/>
          <w:spacing w:val="10"/>
        </w:rPr>
        <w:t>产品管理人于每个估值日对理财产品进行估值，并将理财资产净值结果发送产品托管人，经产品托管人复核无误后，由产品管理人对外公布。</w:t>
      </w:r>
    </w:p>
    <w:p>
      <w:pPr>
        <w:numPr>
          <w:ilvl w:val="0"/>
          <w:numId w:val="14"/>
        </w:numPr>
        <w:spacing w:line="360" w:lineRule="auto"/>
        <w:rPr>
          <w:b/>
          <w:bCs/>
          <w:color w:val="000000"/>
        </w:rPr>
      </w:pPr>
      <w:r>
        <w:rPr>
          <w:rFonts w:hint="eastAsia"/>
          <w:b/>
          <w:bCs/>
          <w:color w:val="000000"/>
        </w:rPr>
        <w:t>产品终止</w:t>
      </w:r>
    </w:p>
    <w:p>
      <w:pPr>
        <w:numPr>
          <w:ilvl w:val="0"/>
          <w:numId w:val="20"/>
        </w:numPr>
        <w:tabs>
          <w:tab w:val="left" w:pos="0"/>
        </w:tabs>
        <w:spacing w:line="360" w:lineRule="auto"/>
        <w:ind w:firstLineChars="200"/>
        <w:rPr>
          <w:color w:val="000000"/>
        </w:rPr>
      </w:pPr>
      <w:r>
        <w:rPr>
          <w:rFonts w:hint="eastAsia"/>
          <w:color w:val="000000"/>
        </w:rPr>
        <w:t>产品提前终止</w:t>
      </w:r>
    </w:p>
    <w:p>
      <w:pPr>
        <w:spacing w:line="360" w:lineRule="auto"/>
        <w:ind w:firstLine="489" w:firstLineChars="233"/>
        <w:rPr>
          <w:color w:val="000000"/>
        </w:rPr>
      </w:pPr>
      <w:r>
        <w:rPr>
          <w:rFonts w:hint="eastAsia"/>
          <w:color w:val="000000"/>
        </w:rPr>
        <w:t>在本产品存续期内，投资者无权要求提前终止本产品。当出现下列情形之一时，绍兴银行有权终止本产品：</w:t>
      </w:r>
    </w:p>
    <w:p>
      <w:pPr>
        <w:numPr>
          <w:ilvl w:val="0"/>
          <w:numId w:val="21"/>
        </w:numPr>
        <w:spacing w:line="360" w:lineRule="auto"/>
        <w:ind w:left="0" w:firstLine="420" w:firstLineChars="200"/>
        <w:rPr>
          <w:color w:val="000000"/>
        </w:rPr>
      </w:pPr>
      <w:r>
        <w:rPr>
          <w:rFonts w:hint="eastAsia"/>
          <w:color w:val="000000"/>
        </w:rPr>
        <w:t>因不可抗力原因导致理财产品无法继续运作。</w:t>
      </w:r>
    </w:p>
    <w:p>
      <w:pPr>
        <w:numPr>
          <w:ilvl w:val="0"/>
          <w:numId w:val="21"/>
        </w:numPr>
        <w:spacing w:line="360" w:lineRule="auto"/>
        <w:ind w:left="0" w:firstLine="420" w:firstLineChars="200"/>
        <w:rPr>
          <w:color w:val="000000"/>
        </w:rPr>
      </w:pPr>
      <w:r>
        <w:rPr>
          <w:rFonts w:hint="eastAsia"/>
          <w:color w:val="000000"/>
        </w:rPr>
        <w:t>遇市场出现剧烈波动、异常风险事件等情形导致理财产品收益出现大幅波动或严重影响理财产品的资产安全。</w:t>
      </w:r>
    </w:p>
    <w:p>
      <w:pPr>
        <w:numPr>
          <w:ilvl w:val="0"/>
          <w:numId w:val="21"/>
        </w:numPr>
        <w:spacing w:line="360" w:lineRule="auto"/>
        <w:ind w:left="0" w:firstLine="420" w:firstLineChars="200"/>
        <w:rPr>
          <w:color w:val="000000"/>
        </w:rPr>
      </w:pPr>
      <w:r>
        <w:rPr>
          <w:rFonts w:hint="eastAsia"/>
          <w:color w:val="000000"/>
        </w:rPr>
        <w:t>因投资者理财资金被有权机关扣划等原因导致理财产品剩余资产无法满足相关法律法规规定、所投资市场要求或协议等相关法律文件约定，或者继续运作无法实现投资目标。</w:t>
      </w:r>
    </w:p>
    <w:p>
      <w:pPr>
        <w:numPr>
          <w:ilvl w:val="0"/>
          <w:numId w:val="21"/>
        </w:numPr>
        <w:spacing w:line="360" w:lineRule="auto"/>
        <w:ind w:left="0" w:firstLine="420" w:firstLineChars="200"/>
        <w:rPr>
          <w:color w:val="000000"/>
        </w:rPr>
      </w:pPr>
      <w:r>
        <w:rPr>
          <w:rFonts w:hint="eastAsia"/>
          <w:color w:val="000000"/>
        </w:rPr>
        <w:t>相关投资管理机构或运用理财资金的第三方主体实施符合法律法规规定或协议等相关文件约定的行为导致理财产品被动提前终止。</w:t>
      </w:r>
    </w:p>
    <w:p>
      <w:pPr>
        <w:numPr>
          <w:ilvl w:val="0"/>
          <w:numId w:val="21"/>
        </w:numPr>
        <w:spacing w:line="360" w:lineRule="auto"/>
        <w:ind w:left="0" w:firstLine="420" w:firstLineChars="200"/>
        <w:rPr>
          <w:color w:val="000000"/>
        </w:rPr>
      </w:pPr>
      <w:r>
        <w:rPr>
          <w:rFonts w:hint="eastAsia"/>
          <w:color w:val="000000"/>
        </w:rPr>
        <w:t>因法律法规变化或国家金融政策调整、紧急措施出台影响产品继续正常运作。</w:t>
      </w:r>
    </w:p>
    <w:p>
      <w:pPr>
        <w:numPr>
          <w:ilvl w:val="0"/>
          <w:numId w:val="21"/>
        </w:numPr>
        <w:spacing w:line="360" w:lineRule="auto"/>
        <w:ind w:left="0" w:firstLine="420" w:firstLineChars="200"/>
        <w:rPr>
          <w:color w:val="000000"/>
        </w:rPr>
      </w:pPr>
      <w:r>
        <w:rPr>
          <w:rFonts w:hint="eastAsia"/>
          <w:color w:val="000000"/>
        </w:rPr>
        <w:t>法律法规规定或监管机构认定的其他情形。</w:t>
      </w:r>
    </w:p>
    <w:p>
      <w:pPr>
        <w:spacing w:line="360" w:lineRule="auto"/>
        <w:ind w:firstLine="489" w:firstLineChars="233"/>
        <w:rPr>
          <w:color w:val="000000"/>
        </w:rPr>
      </w:pPr>
      <w:r>
        <w:rPr>
          <w:rFonts w:hint="eastAsia"/>
          <w:color w:val="000000"/>
        </w:rPr>
        <w:t>如绍兴银行提前终止本产品，绍兴银行将至少提前2个工作日通过绍兴银行各营业网点或绍兴银行官网公布提前终止日并指定资金到帐日，本行将按提前终止日产品单位净值，将投资者理财资金于指定的资金到帐日（遇银行节假日顺延）内划转至投资者指定账户。提前终止日（含当日）至资金实际到帐日之间，理财资金不计息。</w:t>
      </w:r>
    </w:p>
    <w:p>
      <w:pPr>
        <w:numPr>
          <w:ilvl w:val="0"/>
          <w:numId w:val="20"/>
        </w:numPr>
        <w:tabs>
          <w:tab w:val="left" w:pos="0"/>
        </w:tabs>
        <w:spacing w:line="360" w:lineRule="auto"/>
        <w:ind w:firstLineChars="200"/>
        <w:rPr>
          <w:color w:val="000000"/>
        </w:rPr>
      </w:pPr>
      <w:r>
        <w:rPr>
          <w:rFonts w:hint="eastAsia"/>
          <w:color w:val="000000"/>
        </w:rPr>
        <w:t>产品正常终止</w:t>
      </w:r>
    </w:p>
    <w:p>
      <w:pPr>
        <w:spacing w:line="360" w:lineRule="auto"/>
        <w:ind w:firstLine="489" w:firstLineChars="233"/>
        <w:rPr>
          <w:color w:val="000000"/>
        </w:rPr>
      </w:pPr>
      <w:r>
        <w:rPr>
          <w:rFonts w:hint="eastAsia"/>
          <w:color w:val="000000"/>
        </w:rPr>
        <w:t>本产品到期日为</w:t>
      </w:r>
      <w:r>
        <w:rPr>
          <w:color w:val="000000"/>
        </w:rPr>
        <w:t>2026年1月14日</w:t>
      </w:r>
      <w:r>
        <w:rPr>
          <w:rFonts w:hint="eastAsia"/>
          <w:color w:val="000000"/>
        </w:rPr>
        <w:t>。当本产品未发生触发提前终止的事件时，本产品将于</w:t>
      </w:r>
      <w:r>
        <w:rPr>
          <w:color w:val="000000"/>
        </w:rPr>
        <w:t>2026年1月14日</w:t>
      </w:r>
      <w:r>
        <w:rPr>
          <w:rFonts w:hint="eastAsia"/>
          <w:color w:val="000000"/>
        </w:rPr>
        <w:t>正常到期。</w:t>
      </w:r>
    </w:p>
    <w:p>
      <w:pPr>
        <w:numPr>
          <w:ilvl w:val="0"/>
          <w:numId w:val="14"/>
        </w:numPr>
        <w:spacing w:line="360" w:lineRule="auto"/>
        <w:ind w:firstLine="462"/>
        <w:rPr>
          <w:rFonts w:ascii="宋体"/>
          <w:b/>
          <w:color w:val="000000"/>
          <w:spacing w:val="10"/>
        </w:rPr>
      </w:pPr>
      <w:r>
        <w:rPr>
          <w:rFonts w:hint="eastAsia" w:ascii="宋体"/>
          <w:b/>
          <w:color w:val="000000"/>
          <w:spacing w:val="10"/>
        </w:rPr>
        <w:t>信息披露</w:t>
      </w:r>
    </w:p>
    <w:p>
      <w:pPr>
        <w:numPr>
          <w:ilvl w:val="0"/>
          <w:numId w:val="22"/>
        </w:numPr>
        <w:tabs>
          <w:tab w:val="left" w:pos="0"/>
        </w:tabs>
        <w:spacing w:line="360" w:lineRule="auto"/>
        <w:ind w:firstLine="460" w:firstLineChars="200"/>
        <w:rPr>
          <w:rFonts w:ascii="宋体"/>
          <w:bCs/>
          <w:color w:val="000000"/>
          <w:spacing w:val="10"/>
        </w:rPr>
      </w:pPr>
      <w:r>
        <w:rPr>
          <w:rFonts w:hint="eastAsia" w:ascii="宋体"/>
          <w:bCs/>
          <w:color w:val="000000"/>
          <w:spacing w:val="10"/>
        </w:rPr>
        <w:t>绍兴银行将通过各营业网点或绍兴银行官网披露本产品的相关信息。</w:t>
      </w:r>
      <w:r>
        <w:rPr>
          <w:rFonts w:hint="eastAsia" w:ascii="宋体"/>
          <w:b/>
          <w:color w:val="000000"/>
          <w:spacing w:val="10"/>
        </w:rPr>
        <w:t>该等披露，视为绍兴银行已向投资者完全履行信息披露义务，自公告之日即视为已送达投资者。投资者承诺将及时接收、浏览和阅读该等信息。</w:t>
      </w:r>
      <w:r>
        <w:rPr>
          <w:rFonts w:hint="eastAsia" w:ascii="宋体"/>
          <w:bCs/>
          <w:color w:val="000000"/>
          <w:spacing w:val="10"/>
        </w:rPr>
        <w:t>如投资者对本产品的运作状况有任何疑问，可到银行营业网点或拨打绍兴银行客户服务热线0575-96528进行咨询。</w:t>
      </w:r>
    </w:p>
    <w:p>
      <w:pPr>
        <w:numPr>
          <w:ilvl w:val="0"/>
          <w:numId w:val="22"/>
        </w:numPr>
        <w:tabs>
          <w:tab w:val="left" w:pos="0"/>
        </w:tabs>
        <w:spacing w:line="360" w:lineRule="auto"/>
        <w:ind w:firstLine="460" w:firstLineChars="200"/>
        <w:rPr>
          <w:rFonts w:ascii="宋体"/>
          <w:bCs/>
          <w:color w:val="000000"/>
          <w:spacing w:val="10"/>
        </w:rPr>
      </w:pPr>
      <w:r>
        <w:rPr>
          <w:rFonts w:hint="eastAsia" w:ascii="宋体"/>
          <w:bCs/>
          <w:color w:val="000000"/>
          <w:spacing w:val="10"/>
        </w:rPr>
        <w:t>绍兴银行</w:t>
      </w:r>
      <w:r>
        <w:rPr>
          <w:rFonts w:hint="eastAsia" w:ascii="宋体" w:hAnsi="宋体"/>
          <w:color w:val="000000"/>
          <w:spacing w:val="10"/>
        </w:rPr>
        <w:t>每周公布本产品单位净值。法律法规另有规定的，从其规定。</w:t>
      </w:r>
    </w:p>
    <w:p>
      <w:pPr>
        <w:numPr>
          <w:ilvl w:val="0"/>
          <w:numId w:val="22"/>
        </w:numPr>
        <w:tabs>
          <w:tab w:val="left" w:pos="0"/>
        </w:tabs>
        <w:spacing w:line="360" w:lineRule="auto"/>
        <w:ind w:firstLine="460" w:firstLineChars="200"/>
        <w:rPr>
          <w:rFonts w:ascii="宋体"/>
          <w:bCs/>
          <w:color w:val="000000"/>
          <w:spacing w:val="10"/>
        </w:rPr>
      </w:pPr>
      <w:r>
        <w:rPr>
          <w:rFonts w:hint="eastAsia" w:ascii="宋体" w:hAnsi="宋体"/>
          <w:color w:val="000000"/>
          <w:spacing w:val="10"/>
        </w:rPr>
        <w:t>本产品成立后5个工作日内，披露本产品发行公告。</w:t>
      </w:r>
    </w:p>
    <w:p>
      <w:pPr>
        <w:numPr>
          <w:ilvl w:val="0"/>
          <w:numId w:val="22"/>
        </w:numPr>
        <w:tabs>
          <w:tab w:val="left" w:pos="0"/>
        </w:tabs>
        <w:spacing w:line="360" w:lineRule="auto"/>
        <w:ind w:firstLine="460" w:firstLineChars="200"/>
        <w:rPr>
          <w:rFonts w:ascii="宋体"/>
          <w:bCs/>
          <w:color w:val="000000"/>
          <w:spacing w:val="10"/>
        </w:rPr>
      </w:pPr>
      <w:r>
        <w:rPr>
          <w:rFonts w:hint="eastAsia" w:ascii="宋体"/>
          <w:bCs/>
          <w:color w:val="000000"/>
          <w:spacing w:val="10"/>
        </w:rPr>
        <w:t>理财产品管理人至少每季向投资者披露产品定期报告。理财产品成立不足 90 个工作日或者剩余存续期不超过 90 个工作日的，管理人可以不编制定期报告。</w:t>
      </w:r>
    </w:p>
    <w:p>
      <w:pPr>
        <w:numPr>
          <w:ilvl w:val="0"/>
          <w:numId w:val="22"/>
        </w:numPr>
        <w:tabs>
          <w:tab w:val="left" w:pos="0"/>
        </w:tabs>
        <w:spacing w:line="360" w:lineRule="auto"/>
        <w:ind w:firstLine="460" w:firstLineChars="200"/>
        <w:rPr>
          <w:rFonts w:ascii="宋体"/>
          <w:bCs/>
          <w:color w:val="000000"/>
          <w:spacing w:val="10"/>
        </w:rPr>
      </w:pPr>
      <w:r>
        <w:rPr>
          <w:rFonts w:hint="eastAsia" w:ascii="宋体" w:hAnsi="宋体"/>
          <w:color w:val="000000"/>
          <w:spacing w:val="10"/>
        </w:rPr>
        <w:t>本产品终止后5个工作日内，披露本产品到期公告。</w:t>
      </w:r>
    </w:p>
    <w:p>
      <w:pPr>
        <w:numPr>
          <w:ilvl w:val="0"/>
          <w:numId w:val="22"/>
        </w:numPr>
        <w:tabs>
          <w:tab w:val="left" w:pos="0"/>
        </w:tabs>
        <w:spacing w:line="360" w:lineRule="auto"/>
        <w:ind w:firstLine="460" w:firstLineChars="200"/>
        <w:rPr>
          <w:rFonts w:ascii="宋体"/>
          <w:bCs/>
          <w:color w:val="000000"/>
          <w:spacing w:val="10"/>
        </w:rPr>
      </w:pPr>
      <w:r>
        <w:rPr>
          <w:rFonts w:hint="eastAsia" w:ascii="宋体"/>
          <w:bCs/>
          <w:color w:val="000000"/>
          <w:spacing w:val="10"/>
        </w:rPr>
        <w:t>产品存续期间若发生绍兴银行认为可能对本产品投资者或者理财产品收益产生重大影响的事件时，绍兴银行将在事件发生后2日内发布重大事项公告。</w:t>
      </w:r>
    </w:p>
    <w:p>
      <w:pPr>
        <w:numPr>
          <w:ilvl w:val="0"/>
          <w:numId w:val="22"/>
        </w:numPr>
        <w:tabs>
          <w:tab w:val="left" w:pos="0"/>
        </w:tabs>
        <w:spacing w:line="360" w:lineRule="auto"/>
        <w:ind w:firstLine="462" w:firstLineChars="200"/>
        <w:rPr>
          <w:rFonts w:ascii="宋体"/>
          <w:bCs/>
          <w:color w:val="000000"/>
          <w:spacing w:val="10"/>
        </w:rPr>
      </w:pPr>
      <w:r>
        <w:rPr>
          <w:rFonts w:hint="eastAsia" w:ascii="宋体"/>
          <w:b/>
          <w:color w:val="000000"/>
          <w:spacing w:val="10"/>
        </w:rPr>
        <w:t>绍兴银行对本产品投资范围和投资比例、估值方法以及收费项目、条件、标准和方式等保留变更的权利，如发生变更，调整后的要素以绍兴银行发布的变更公告中所载明的内容为准。绍兴银行将至少提前1个工作日通过各营业网点或官网进行公告。</w:t>
      </w:r>
      <w:r>
        <w:rPr>
          <w:rFonts w:hint="eastAsia" w:ascii="宋体"/>
          <w:bCs/>
          <w:color w:val="000000"/>
          <w:spacing w:val="10"/>
        </w:rPr>
        <w:t>投资者有权不接受变更，通过赎回产品份额来退出本产品。投资者未选择赎回本产品，视为已理解并接受变更后的要素。</w:t>
      </w:r>
    </w:p>
    <w:p>
      <w:pPr>
        <w:numPr>
          <w:ilvl w:val="0"/>
          <w:numId w:val="14"/>
        </w:numPr>
        <w:tabs>
          <w:tab w:val="clear" w:pos="0"/>
        </w:tabs>
        <w:spacing w:line="360" w:lineRule="auto"/>
        <w:ind w:firstLine="462"/>
        <w:rPr>
          <w:rFonts w:ascii="宋体" w:hAnsi="宋体"/>
          <w:b/>
          <w:color w:val="000000"/>
          <w:spacing w:val="10"/>
        </w:rPr>
      </w:pPr>
      <w:r>
        <w:rPr>
          <w:rFonts w:hint="eastAsia" w:ascii="宋体" w:hAnsi="宋体"/>
          <w:b/>
          <w:color w:val="000000"/>
          <w:spacing w:val="10"/>
        </w:rPr>
        <w:t>投资管理人</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本理财计划的投资管理人为绍兴银行。绍兴银行负责本理财产品的投资运作和产品管理，投资者在此授权并同意绍兴银行享有以下权利：</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1.管理人以其固有财产先行垫付因处理本理财产品相关事务所支出的理财产品费用及税费的，并对理财产品资金享有优先受偿的权利；</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2.管理人按照本理财产品文件的约定，及时、足额获得投资管理费；</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3.管理人有权根据本理财产品文件的约定提前终止或延长本理财产品的期限；</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4.管理人有权调整认购资金的最低金额；</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5.管理人有权按照法律规定和监管机构的要求将投资者的信息向有权部门或相关机构披露；</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6.以理财产品投资管理人的名义，依照法律法规相关规定以及为理财产品的利益，对被投资的各类基金（含公募基金和私募基金）、公司/企业等行使出资人/投资者权利（包括但不限于表决投票的权利）以及行使因理财产品财产投资于证券类基础资产（含债券）或其他基础资产（包括但不限于债权类资产）所产生的相关权利；</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7.以理财产品投资管理人的名义，依照法律法规相关规定以及代表理财产品份额持有人的利益行使代为追索的权利（包括但不限于提起诉讼/仲裁、申请保全/执行的权利）或者实施其他法律行为；</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8.在法律法规、监管政策允许的前提下调整估值日。</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绍兴银行作为本理财产品的管理人，将恪尽职守，做好本产品管理工作，并履行以下义务：</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1.管理人按照本理财产品文件的约定，诚实信用、勤勉尽责，以专业技能管理、运用和处分理财产品委托资产，不得从事有损委托人利益的行为；</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2.管理人有义务保障投资者委托资产的安全、完整，不得以任何形式挪用委托资产；</w:t>
      </w:r>
    </w:p>
    <w:p>
      <w:pPr>
        <w:tabs>
          <w:tab w:val="left" w:pos="0"/>
        </w:tabs>
        <w:spacing w:line="360" w:lineRule="auto"/>
        <w:ind w:firstLine="460" w:firstLineChars="200"/>
        <w:rPr>
          <w:rFonts w:ascii="宋体" w:eastAsia="宋体"/>
          <w:bCs/>
          <w:color w:val="000000"/>
          <w:spacing w:val="10"/>
        </w:rPr>
      </w:pPr>
      <w:r>
        <w:rPr>
          <w:rFonts w:hint="eastAsia" w:ascii="宋体"/>
          <w:bCs/>
          <w:color w:val="000000"/>
          <w:spacing w:val="10"/>
        </w:rPr>
        <w:t>3.管理人依据理财产品约定和《商业银行理财业务监督管理办法》约定的时间和方式，对报告期内委托资产的配置状况、净值变动等情况做出信息披露；</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4.管理人对客户所签理财协议及其条款负有保密义务。除法律、法规另有规定或监管机构另有要求外，未经客户书面许可，管理人不会向任何组织、个人提供或泄露与客户有关的业务资料及信息；</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5.管理人需要妥善保管与委托资产有关的会计账册、凭证、交易记录、合同等资料；</w:t>
      </w:r>
    </w:p>
    <w:p>
      <w:pPr>
        <w:numPr>
          <w:ilvl w:val="255"/>
          <w:numId w:val="0"/>
        </w:numPr>
        <w:spacing w:line="360" w:lineRule="auto"/>
        <w:ind w:firstLine="460" w:firstLineChars="200"/>
        <w:rPr>
          <w:rFonts w:ascii="宋体" w:hAnsi="宋体"/>
          <w:b/>
          <w:color w:val="000000"/>
          <w:spacing w:val="10"/>
        </w:rPr>
      </w:pPr>
      <w:r>
        <w:rPr>
          <w:rFonts w:hint="eastAsia" w:ascii="宋体"/>
          <w:bCs/>
          <w:color w:val="000000"/>
          <w:spacing w:val="10"/>
        </w:rPr>
        <w:t>6.法律法规、监管政策和本理财产品文件约定的其他权利和义务。</w:t>
      </w:r>
    </w:p>
    <w:p>
      <w:pPr>
        <w:numPr>
          <w:ilvl w:val="0"/>
          <w:numId w:val="14"/>
        </w:numPr>
        <w:spacing w:line="360" w:lineRule="auto"/>
        <w:ind w:firstLine="462"/>
        <w:rPr>
          <w:rFonts w:ascii="宋体"/>
          <w:b/>
          <w:color w:val="000000"/>
          <w:spacing w:val="10"/>
        </w:rPr>
      </w:pPr>
      <w:r>
        <w:rPr>
          <w:rFonts w:hint="eastAsia" w:ascii="宋体" w:hAnsi="宋体"/>
          <w:b/>
          <w:color w:val="000000"/>
          <w:spacing w:val="10"/>
        </w:rPr>
        <w:t>托管人</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本理财计划的托管人为招商银行。</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本理财产品托管人应当履行下列职责，确保实现实质性独立托管：</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1、安全保管理财产品财产；</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2、为每只理财产品开设独立的托管账户，不同托管账户中的资产应当相互独立；</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3、按照托管协议约定和理财产品管理人的投资指令，及时办理清算、交割事宜；</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4、建立与理财产品管理人的对账机制，复核、审查理财产品资金头寸、资产账目、资产净值、认购和赎回价格等数据，及时核查认购、赎回以及投资资金的支付和到账情况；</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5、监督理财产品投资运作，发现理财产品违反法律、行政法规、规章规定或合同约定进行投资的，应当拒绝执行，及时通知理财产品管理人并报告银行业监督管理机构；</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tabs>
          <w:tab w:val="left" w:pos="0"/>
        </w:tabs>
        <w:spacing w:line="360" w:lineRule="auto"/>
        <w:ind w:firstLine="460" w:firstLineChars="200"/>
        <w:rPr>
          <w:rFonts w:ascii="宋体"/>
          <w:bCs/>
          <w:color w:val="000000"/>
          <w:spacing w:val="10"/>
        </w:rPr>
      </w:pPr>
      <w:r>
        <w:rPr>
          <w:rFonts w:hint="eastAsia" w:ascii="宋体"/>
          <w:bCs/>
          <w:color w:val="000000"/>
          <w:spacing w:val="10"/>
        </w:rPr>
        <w:t>7、对理财产品投资信息和相关资料承担保密责任，除法律、行政法规、规章规定、审计要求或者合同约定外，不得向任何机构或者个人提供相关信息和资料；</w:t>
      </w:r>
    </w:p>
    <w:p>
      <w:pPr>
        <w:numPr>
          <w:ilvl w:val="255"/>
          <w:numId w:val="0"/>
        </w:numPr>
        <w:tabs>
          <w:tab w:val="left" w:pos="0"/>
        </w:tabs>
        <w:spacing w:line="360" w:lineRule="auto"/>
        <w:ind w:firstLine="460" w:firstLineChars="200"/>
        <w:rPr>
          <w:rFonts w:ascii="宋体"/>
          <w:b/>
          <w:color w:val="000000"/>
          <w:spacing w:val="10"/>
        </w:rPr>
      </w:pPr>
      <w:r>
        <w:rPr>
          <w:rFonts w:hint="eastAsia" w:ascii="宋体"/>
          <w:bCs/>
          <w:color w:val="000000"/>
          <w:spacing w:val="10"/>
        </w:rPr>
        <w:t>8、国务院银行业监督管理机构规定的其他职责。</w:t>
      </w:r>
    </w:p>
    <w:p>
      <w:pPr>
        <w:numPr>
          <w:ilvl w:val="0"/>
          <w:numId w:val="14"/>
        </w:numPr>
        <w:spacing w:line="360" w:lineRule="auto"/>
        <w:ind w:firstLine="462"/>
        <w:rPr>
          <w:rFonts w:ascii="宋体"/>
          <w:b/>
          <w:color w:val="000000"/>
          <w:spacing w:val="10"/>
        </w:rPr>
      </w:pPr>
      <w:r>
        <w:rPr>
          <w:rFonts w:hint="eastAsia" w:ascii="宋体" w:hAnsi="宋体"/>
          <w:b/>
          <w:color w:val="000000"/>
          <w:spacing w:val="10"/>
        </w:rPr>
        <w:t>特别说明</w:t>
      </w:r>
    </w:p>
    <w:p>
      <w:pPr>
        <w:spacing w:line="360" w:lineRule="auto"/>
        <w:ind w:firstLine="460" w:firstLineChars="200"/>
        <w:rPr>
          <w:rFonts w:ascii="宋体" w:hAnsi="宋体"/>
          <w:color w:val="000000"/>
          <w:spacing w:val="10"/>
        </w:rPr>
      </w:pPr>
      <w:r>
        <w:rPr>
          <w:rFonts w:hint="eastAsia" w:ascii="宋体" w:hAnsi="宋体"/>
          <w:color w:val="000000"/>
          <w:spacing w:val="10"/>
        </w:rPr>
        <w:t>本《产品说明书》与《投资者权益须知》、《理财产品风险揭示书》、《产品协议书》等均为本产品销售文件不可分割之组成部分。</w:t>
      </w:r>
    </w:p>
    <w:p>
      <w:pPr>
        <w:spacing w:line="360" w:lineRule="auto"/>
        <w:ind w:firstLine="460" w:firstLineChars="200"/>
        <w:rPr>
          <w:rFonts w:ascii="宋体" w:hAnsi="宋体"/>
          <w:color w:val="000000"/>
          <w:spacing w:val="10"/>
        </w:rPr>
      </w:pPr>
      <w:r>
        <w:rPr>
          <w:rFonts w:hint="eastAsia" w:ascii="宋体" w:hAnsi="宋体"/>
          <w:color w:val="000000"/>
          <w:spacing w:val="10"/>
        </w:rPr>
        <w:t>本产品无预期收益率，不保证本金和收益，产品净值随产品所投资资产的价格变动而变动。产品认购、申购、赎回、清算以产品净值为计算基础，投资者所能获得的最终收益以绍兴银行实际支付的为准。</w:t>
      </w:r>
    </w:p>
    <w:p>
      <w:pPr>
        <w:spacing w:line="360" w:lineRule="auto"/>
        <w:ind w:firstLine="460" w:firstLineChars="200"/>
        <w:rPr>
          <w:rFonts w:ascii="宋体" w:hAnsi="宋体"/>
          <w:color w:val="000000"/>
          <w:spacing w:val="10"/>
        </w:rPr>
      </w:pPr>
      <w:r>
        <w:rPr>
          <w:rFonts w:hint="eastAsia" w:ascii="宋体" w:hAnsi="宋体"/>
          <w:color w:val="000000"/>
          <w:spacing w:val="10"/>
        </w:rPr>
        <w:t>本产品仅向依据中华人民共和国有关法律法规及本产品说明书规定可以购买本产品的投资者发售。</w:t>
      </w:r>
    </w:p>
    <w:p>
      <w:pPr>
        <w:spacing w:line="360" w:lineRule="auto"/>
        <w:ind w:firstLine="460" w:firstLineChars="200"/>
        <w:rPr>
          <w:rFonts w:ascii="宋体" w:hAnsi="宋体"/>
          <w:color w:val="000000"/>
          <w:spacing w:val="10"/>
        </w:rPr>
      </w:pPr>
      <w:r>
        <w:rPr>
          <w:rFonts w:hint="eastAsia" w:ascii="宋体" w:hAnsi="宋体"/>
          <w:color w:val="000000"/>
          <w:spacing w:val="10"/>
        </w:rPr>
        <w:t>投资者承诺用于认购本产品的资金来源合法合规，不存在使用贷款、发行债券等筹集的非自有资金投资本产品的情形。</w:t>
      </w:r>
    </w:p>
    <w:p>
      <w:pPr>
        <w:tabs>
          <w:tab w:val="left" w:pos="420"/>
        </w:tabs>
        <w:spacing w:line="360" w:lineRule="auto"/>
        <w:ind w:firstLine="460" w:firstLineChars="200"/>
        <w:rPr>
          <w:rFonts w:ascii="宋体" w:hAnsi="宋体"/>
          <w:color w:val="000000"/>
          <w:spacing w:val="10"/>
        </w:rPr>
      </w:pPr>
      <w:r>
        <w:rPr>
          <w:rFonts w:hint="eastAsia" w:ascii="宋体" w:hAnsi="宋体"/>
          <w:color w:val="000000"/>
          <w:spacing w:val="10"/>
        </w:rPr>
        <w:t>投资者承诺投资本理财产品使用的资金为投资者合法持有，不存在代他人持有或投资产品的情形，资金来源合法合规，不属于依据联合国、中国政府、美国政府、欧盟等国际组织或政府制裁范围；仅为合法目的投资本理财产品；如发生异常情况，投资者将配合绍兴银行开展客户身份识别及尽职调查等反洗钱活动，及时、真实、准确、完整提供身份信息及资金来源等信息。</w:t>
      </w:r>
    </w:p>
    <w:p>
      <w:pPr>
        <w:tabs>
          <w:tab w:val="left" w:pos="420"/>
        </w:tabs>
        <w:spacing w:line="360" w:lineRule="auto"/>
        <w:ind w:firstLine="460" w:firstLineChars="200"/>
        <w:rPr>
          <w:rFonts w:ascii="宋体" w:hAnsi="宋体"/>
          <w:color w:val="000000"/>
          <w:spacing w:val="10"/>
        </w:rPr>
      </w:pPr>
      <w:r>
        <w:rPr>
          <w:rFonts w:hint="eastAsia" w:ascii="宋体" w:hAnsi="宋体"/>
          <w:color w:val="000000"/>
          <w:spacing w:val="10"/>
        </w:rPr>
        <w:t>在购买本理财产品前，请投资者仔细阅读本产品销售文件，确保自己详细了解和审慎评估本理财产品的投资方向、风险类型，完全理解该项投资的性质和所涉及的风险， 并充分、慎重考虑自身的风险承受能力。投资者若</w:t>
      </w:r>
      <w:r>
        <w:rPr>
          <w:rFonts w:hint="eastAsia" w:ascii="宋体" w:hAnsi="宋体"/>
          <w:color w:val="000000"/>
          <w:spacing w:val="10"/>
          <w:lang w:eastAsia="zh-CN"/>
        </w:rPr>
        <w:t>对</w:t>
      </w:r>
      <w:r>
        <w:rPr>
          <w:rFonts w:hint="eastAsia" w:ascii="宋体" w:hAnsi="宋体"/>
          <w:color w:val="000000"/>
          <w:spacing w:val="10"/>
        </w:rPr>
        <w:t>本产品说明书的内容有任何疑问，请向绍兴银行各营业网点咨询。</w:t>
      </w:r>
    </w:p>
    <w:p>
      <w:pPr>
        <w:spacing w:line="360" w:lineRule="auto"/>
        <w:ind w:firstLine="460" w:firstLineChars="200"/>
        <w:rPr>
          <w:rFonts w:ascii="宋体" w:hAnsi="宋体"/>
          <w:color w:val="000000"/>
          <w:spacing w:val="10"/>
        </w:rPr>
      </w:pPr>
      <w:r>
        <w:rPr>
          <w:rFonts w:hint="eastAsia" w:ascii="宋体" w:hAnsi="宋体"/>
          <w:color w:val="000000"/>
          <w:spacing w:val="10"/>
        </w:rPr>
        <w:t>绍兴银行将恪守勤勉尽责的职责，合理配置财产组合，为投资者提供专业化的理财服务。</w:t>
      </w:r>
    </w:p>
    <w:p>
      <w:pPr>
        <w:spacing w:line="360" w:lineRule="auto"/>
        <w:ind w:firstLine="460" w:firstLineChars="200"/>
        <w:rPr>
          <w:rFonts w:ascii="宋体" w:hAnsi="宋体"/>
          <w:b/>
          <w:color w:val="000000"/>
          <w:sz w:val="28"/>
          <w:szCs w:val="28"/>
        </w:rPr>
      </w:pPr>
      <w:r>
        <w:rPr>
          <w:rFonts w:hint="eastAsia" w:ascii="宋体" w:hAnsi="宋体"/>
          <w:color w:val="000000"/>
          <w:spacing w:val="10"/>
        </w:rPr>
        <w:t>投资者应密切关注绍兴银行官网或各营业网点发布的信息披露，及时知悉与本产品相关的信息，以免造成不必要的损失。</w:t>
      </w:r>
    </w:p>
    <w:p>
      <w:pPr>
        <w:spacing w:line="360" w:lineRule="auto"/>
        <w:rPr>
          <w:rFonts w:ascii="宋体" w:hAnsi="宋体"/>
          <w:b/>
          <w:color w:val="000000"/>
          <w:sz w:val="28"/>
          <w:szCs w:val="28"/>
        </w:rPr>
      </w:pPr>
      <w:r>
        <w:rPr>
          <w:rFonts w:hint="eastAsia" w:ascii="宋体" w:hAnsi="宋体"/>
          <w:b/>
          <w:color w:val="000000"/>
          <w:sz w:val="28"/>
          <w:szCs w:val="28"/>
        </w:rPr>
        <w:t>客户签章：</w:t>
      </w:r>
      <w:r>
        <w:rPr>
          <w:rFonts w:hint="eastAsia" w:ascii="宋体" w:hAnsi="宋体"/>
          <w:b/>
          <w:color w:val="000000"/>
          <w:sz w:val="28"/>
          <w:szCs w:val="28"/>
          <w:u w:val="single"/>
        </w:rPr>
        <w:t xml:space="preserve">                 </w:t>
      </w:r>
      <w:r>
        <w:rPr>
          <w:rFonts w:hint="eastAsia" w:ascii="宋体" w:hAnsi="宋体"/>
          <w:b/>
          <w:color w:val="000000"/>
          <w:sz w:val="28"/>
          <w:szCs w:val="28"/>
        </w:rPr>
        <w:t xml:space="preserve">          绍兴银行：</w:t>
      </w:r>
      <w:r>
        <w:rPr>
          <w:rFonts w:hint="eastAsia" w:ascii="宋体" w:hAnsi="宋体"/>
          <w:b/>
          <w:color w:val="000000"/>
          <w:sz w:val="28"/>
          <w:szCs w:val="28"/>
          <w:u w:val="single"/>
        </w:rPr>
        <w:t xml:space="preserve">                 </w:t>
      </w:r>
      <w:r>
        <w:rPr>
          <w:rFonts w:hint="eastAsia" w:ascii="宋体" w:hAnsi="宋体"/>
          <w:b/>
          <w:color w:val="000000"/>
          <w:sz w:val="28"/>
          <w:szCs w:val="28"/>
        </w:rPr>
        <w:t xml:space="preserve">          </w:t>
      </w:r>
    </w:p>
    <w:p>
      <w:pPr>
        <w:spacing w:line="360" w:lineRule="auto"/>
        <w:rPr>
          <w:rFonts w:ascii="宋体" w:hAnsi="宋体"/>
          <w:b/>
          <w:color w:val="000000"/>
          <w:sz w:val="28"/>
          <w:szCs w:val="28"/>
        </w:rPr>
        <w:sectPr>
          <w:pgSz w:w="11906" w:h="16838"/>
          <w:pgMar w:top="1440" w:right="567" w:bottom="1440" w:left="567" w:header="851" w:footer="992" w:gutter="0"/>
          <w:cols w:space="720" w:num="1"/>
          <w:docGrid w:type="lines" w:linePitch="312" w:charSpace="0"/>
        </w:sectPr>
      </w:pPr>
      <w:r>
        <w:rPr>
          <w:rFonts w:hint="eastAsia" w:ascii="宋体" w:hAnsi="宋体"/>
          <w:b/>
          <w:color w:val="000000"/>
          <w:sz w:val="28"/>
          <w:szCs w:val="28"/>
        </w:rPr>
        <w:t xml:space="preserve">          年     月     日                     年     月     日</w:t>
      </w:r>
    </w:p>
    <w:p>
      <w:pPr>
        <w:spacing w:line="360" w:lineRule="auto"/>
        <w:jc w:val="left"/>
        <w:rPr>
          <w:rFonts w:ascii="宋体" w:hAnsi="宋体"/>
          <w:b/>
          <w:bCs/>
          <w:sz w:val="28"/>
          <w:szCs w:val="28"/>
        </w:rPr>
      </w:pPr>
      <w:r>
        <w:rPr>
          <w:rFonts w:hint="eastAsia" w:ascii="宋体" w:hAnsi="宋体"/>
          <w:b/>
          <w:bCs/>
          <w:sz w:val="28"/>
          <w:szCs w:val="28"/>
        </w:rPr>
        <w:drawing>
          <wp:anchor distT="0" distB="0" distL="114300" distR="114300" simplePos="0" relativeHeight="251660288" behindDoc="0" locked="0" layoutInCell="1" allowOverlap="1">
            <wp:simplePos x="0" y="0"/>
            <wp:positionH relativeFrom="column">
              <wp:posOffset>5549265</wp:posOffset>
            </wp:positionH>
            <wp:positionV relativeFrom="paragraph">
              <wp:posOffset>6350</wp:posOffset>
            </wp:positionV>
            <wp:extent cx="821055" cy="774700"/>
            <wp:effectExtent l="0" t="0" r="17145" b="6350"/>
            <wp:wrapNone/>
            <wp:docPr id="6" name="图片 4" descr="qrcode_for_gh_34e7d70300c4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qrcode_for_gh_34e7d70300c4_258"/>
                    <pic:cNvPicPr>
                      <a:picLocks noChangeAspect="1"/>
                    </pic:cNvPicPr>
                  </pic:nvPicPr>
                  <pic:blipFill>
                    <a:blip r:embed="rId5"/>
                    <a:stretch>
                      <a:fillRect/>
                    </a:stretch>
                  </pic:blipFill>
                  <pic:spPr>
                    <a:xfrm>
                      <a:off x="0" y="0"/>
                      <a:ext cx="821055" cy="774700"/>
                    </a:xfrm>
                    <a:prstGeom prst="rect">
                      <a:avLst/>
                    </a:prstGeom>
                    <a:noFill/>
                    <a:ln w="9525">
                      <a:noFill/>
                    </a:ln>
                  </pic:spPr>
                </pic:pic>
              </a:graphicData>
            </a:graphic>
          </wp:anchor>
        </w:drawing>
      </w:r>
      <w:r>
        <w:rPr>
          <w:rFonts w:hint="eastAsia" w:ascii="黑体" w:hAnsi="宋体" w:eastAsia="黑体"/>
          <w:b/>
          <w:bCs/>
          <w:sz w:val="32"/>
          <w:szCs w:val="32"/>
        </w:rPr>
        <w:drawing>
          <wp:inline distT="0" distB="0" distL="114300" distR="114300">
            <wp:extent cx="1409700" cy="396240"/>
            <wp:effectExtent l="0" t="0" r="0" b="3810"/>
            <wp:docPr id="2" name="图片 2" descr="微信图片_2020092809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928093013"/>
                    <pic:cNvPicPr>
                      <a:picLocks noChangeAspect="1"/>
                    </pic:cNvPicPr>
                  </pic:nvPicPr>
                  <pic:blipFill>
                    <a:blip r:embed="rId4"/>
                    <a:srcRect l="16878" t="36592" r="16667" b="38496"/>
                    <a:stretch>
                      <a:fillRect/>
                    </a:stretch>
                  </pic:blipFill>
                  <pic:spPr>
                    <a:xfrm>
                      <a:off x="0" y="0"/>
                      <a:ext cx="1409700" cy="396240"/>
                    </a:xfrm>
                    <a:prstGeom prst="rect">
                      <a:avLst/>
                    </a:prstGeom>
                    <a:noFill/>
                    <a:ln w="9525">
                      <a:noFill/>
                    </a:ln>
                  </pic:spPr>
                </pic:pic>
              </a:graphicData>
            </a:graphic>
          </wp:inline>
        </w:drawing>
      </w:r>
    </w:p>
    <w:p>
      <w:pPr>
        <w:spacing w:line="360" w:lineRule="auto"/>
        <w:jc w:val="center"/>
        <w:rPr>
          <w:rFonts w:ascii="黑体" w:hAnsi="宋体" w:eastAsia="黑体"/>
          <w:b/>
          <w:bCs/>
          <w:sz w:val="36"/>
          <w:szCs w:val="36"/>
        </w:rPr>
      </w:pPr>
      <w:r>
        <w:rPr>
          <w:rFonts w:hint="eastAsia" w:ascii="黑体" w:hAnsi="宋体" w:eastAsia="黑体"/>
          <w:b/>
          <w:bCs/>
          <w:sz w:val="32"/>
          <w:szCs w:val="32"/>
        </w:rPr>
        <w:t>“金兰花理财”系列人民币理财产品协议书</w:t>
      </w:r>
    </w:p>
    <w:p>
      <w:pPr>
        <w:spacing w:line="360" w:lineRule="auto"/>
        <w:jc w:val="center"/>
        <w:rPr>
          <w:rFonts w:ascii="黑体" w:hAnsi="宋体" w:eastAsia="黑体"/>
          <w:b/>
          <w:bCs/>
          <w:sz w:val="36"/>
          <w:szCs w:val="36"/>
        </w:rPr>
      </w:pPr>
      <w:r>
        <w:rPr>
          <w:rFonts w:hint="eastAsia"/>
          <w:sz w:val="18"/>
          <w:szCs w:val="36"/>
        </w:rPr>
        <w:t>绍兴银行网址:www.sxccb.com                                       24小时客服热线：（0575）96528</w:t>
      </w:r>
    </w:p>
    <w:tbl>
      <w:tblPr>
        <w:tblStyle w:val="13"/>
        <w:tblW w:w="100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37"/>
        <w:gridCol w:w="1182"/>
        <w:gridCol w:w="1983"/>
        <w:gridCol w:w="292"/>
        <w:gridCol w:w="3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10048" w:type="dxa"/>
            <w:gridSpan w:val="5"/>
            <w:shd w:val="clear" w:color="auto" w:fill="A6A6A6"/>
            <w:vAlign w:val="center"/>
          </w:tcPr>
          <w:p>
            <w:pPr>
              <w:adjustRightInd w:val="0"/>
              <w:snapToGrid w:val="0"/>
              <w:spacing w:line="260" w:lineRule="exact"/>
              <w:jc w:val="center"/>
              <w:rPr>
                <w:rFonts w:ascii="黑体" w:hAnsi="黑体" w:eastAsia="黑体"/>
                <w:b/>
                <w:bCs/>
              </w:rPr>
            </w:pPr>
            <w:r>
              <w:rPr>
                <w:rFonts w:hint="eastAsia" w:ascii="黑体" w:hAnsi="黑体" w:eastAsia="黑体"/>
                <w:b/>
                <w:bCs/>
              </w:rPr>
              <w:t>个 人 客 户 填 写 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3037" w:type="dxa"/>
            <w:vAlign w:val="center"/>
          </w:tcPr>
          <w:p>
            <w:pPr>
              <w:adjustRightInd w:val="0"/>
              <w:snapToGrid w:val="0"/>
              <w:spacing w:line="260" w:lineRule="exact"/>
              <w:rPr>
                <w:rFonts w:ascii="宋体" w:hAnsi="宋体" w:cs="宋体"/>
                <w:b/>
                <w:bCs/>
              </w:rPr>
            </w:pPr>
            <w:r>
              <w:rPr>
                <w:rFonts w:hint="eastAsia" w:ascii="宋体" w:hAnsi="宋体" w:cs="宋体"/>
                <w:b/>
                <w:bCs/>
              </w:rPr>
              <w:t>客户姓名：</w:t>
            </w:r>
          </w:p>
        </w:tc>
        <w:tc>
          <w:tcPr>
            <w:tcW w:w="7011" w:type="dxa"/>
            <w:gridSpan w:val="4"/>
            <w:vAlign w:val="center"/>
          </w:tcPr>
          <w:p>
            <w:pPr>
              <w:adjustRightInd w:val="0"/>
              <w:snapToGrid w:val="0"/>
              <w:spacing w:line="260" w:lineRule="exact"/>
              <w:rPr>
                <w:rFonts w:ascii="宋体" w:hAnsi="宋体" w:cs="宋体"/>
                <w:b/>
                <w:bCs/>
              </w:rPr>
            </w:pPr>
            <w:r>
              <w:rPr>
                <w:rFonts w:hint="eastAsia" w:ascii="宋体" w:hAnsi="宋体" w:cs="宋体"/>
                <w:b/>
                <w:bCs/>
              </w:rPr>
              <w:t>证件类型：□身份证 □临时身份证 □护照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6494" w:type="dxa"/>
            <w:gridSpan w:val="4"/>
            <w:vAlign w:val="center"/>
          </w:tcPr>
          <w:p>
            <w:pPr>
              <w:adjustRightInd w:val="0"/>
              <w:snapToGrid w:val="0"/>
              <w:spacing w:line="260" w:lineRule="exact"/>
              <w:rPr>
                <w:rFonts w:ascii="宋体" w:hAnsi="宋体" w:cs="宋体"/>
                <w:b/>
                <w:bCs/>
              </w:rPr>
            </w:pPr>
            <w:r>
              <w:rPr>
                <w:rFonts w:hint="eastAsia" w:ascii="宋体" w:hAnsi="宋体" w:cs="宋体"/>
                <w:b/>
                <w:bCs/>
              </w:rPr>
              <w:t>证件号码：□□□□□□□□□□□□□□□□□□</w:t>
            </w:r>
          </w:p>
        </w:tc>
        <w:tc>
          <w:tcPr>
            <w:tcW w:w="3554" w:type="dxa"/>
            <w:vAlign w:val="center"/>
          </w:tcPr>
          <w:p>
            <w:pPr>
              <w:adjustRightInd w:val="0"/>
              <w:snapToGrid w:val="0"/>
              <w:spacing w:line="260" w:lineRule="exact"/>
              <w:rPr>
                <w:rFonts w:ascii="宋体" w:hAnsi="宋体" w:cs="宋体"/>
                <w:b/>
                <w:bCs/>
              </w:rPr>
            </w:pPr>
            <w:r>
              <w:rPr>
                <w:rFonts w:hint="eastAsia" w:ascii="宋体" w:hAnsi="宋体" w:cs="宋体"/>
                <w:b/>
                <w:bCs/>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6494" w:type="dxa"/>
            <w:gridSpan w:val="4"/>
            <w:vAlign w:val="center"/>
          </w:tcPr>
          <w:p>
            <w:pPr>
              <w:adjustRightInd w:val="0"/>
              <w:snapToGrid w:val="0"/>
              <w:spacing w:line="260" w:lineRule="exact"/>
              <w:rPr>
                <w:rFonts w:ascii="宋体" w:hAnsi="宋体" w:cs="宋体"/>
                <w:b/>
                <w:bCs/>
              </w:rPr>
            </w:pPr>
            <w:r>
              <w:rPr>
                <w:rFonts w:hint="eastAsia" w:ascii="宋体" w:hAnsi="宋体" w:cs="宋体"/>
                <w:b/>
                <w:bCs/>
              </w:rPr>
              <w:t>联系地址：□同身份证地址 □其他</w:t>
            </w:r>
          </w:p>
        </w:tc>
        <w:tc>
          <w:tcPr>
            <w:tcW w:w="3554" w:type="dxa"/>
            <w:vAlign w:val="center"/>
          </w:tcPr>
          <w:p>
            <w:pPr>
              <w:adjustRightInd w:val="0"/>
              <w:snapToGrid w:val="0"/>
              <w:spacing w:line="260" w:lineRule="exact"/>
              <w:rPr>
                <w:rFonts w:ascii="宋体" w:hAnsi="宋体" w:cs="宋体"/>
                <w:b/>
                <w:bCs/>
              </w:rPr>
            </w:pPr>
            <w:r>
              <w:rPr>
                <w:rFonts w:hint="eastAsia" w:ascii="宋体" w:hAnsi="宋体" w:cs="宋体"/>
                <w:b/>
                <w:bCs/>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10048" w:type="dxa"/>
            <w:gridSpan w:val="5"/>
            <w:shd w:val="clear" w:color="auto" w:fill="A6A6A6"/>
            <w:vAlign w:val="center"/>
          </w:tcPr>
          <w:p>
            <w:pPr>
              <w:adjustRightInd w:val="0"/>
              <w:snapToGrid w:val="0"/>
              <w:spacing w:line="260" w:lineRule="exact"/>
              <w:jc w:val="center"/>
              <w:rPr>
                <w:rFonts w:ascii="宋体" w:hAnsi="宋体" w:cs="宋体"/>
                <w:b/>
                <w:bCs/>
              </w:rPr>
            </w:pPr>
            <w:r>
              <w:rPr>
                <w:rFonts w:hint="eastAsia" w:ascii="黑体" w:hAnsi="黑体" w:eastAsia="黑体" w:cs="黑体"/>
                <w:b/>
                <w:bCs/>
              </w:rPr>
              <w:t>机 构 客 户 填 写 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10048" w:type="dxa"/>
            <w:gridSpan w:val="5"/>
            <w:vAlign w:val="center"/>
          </w:tcPr>
          <w:p>
            <w:pPr>
              <w:adjustRightInd w:val="0"/>
              <w:snapToGrid w:val="0"/>
              <w:spacing w:line="260" w:lineRule="exact"/>
              <w:rPr>
                <w:rFonts w:ascii="宋体" w:hAnsi="宋体" w:cs="宋体"/>
                <w:b/>
                <w:bCs/>
              </w:rPr>
            </w:pPr>
            <w:r>
              <w:rPr>
                <w:rFonts w:hint="eastAsia" w:ascii="宋体" w:hAnsi="宋体" w:cs="宋体"/>
                <w:b/>
                <w:bCs/>
              </w:rPr>
              <w:t>客户名称：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6202" w:type="dxa"/>
            <w:gridSpan w:val="3"/>
            <w:vAlign w:val="center"/>
          </w:tcPr>
          <w:p>
            <w:pPr>
              <w:adjustRightInd w:val="0"/>
              <w:snapToGrid w:val="0"/>
              <w:spacing w:line="260" w:lineRule="exact"/>
              <w:rPr>
                <w:rFonts w:ascii="宋体" w:hAnsi="宋体" w:cs="宋体"/>
                <w:b/>
                <w:bCs/>
              </w:rPr>
            </w:pPr>
            <w:r>
              <w:rPr>
                <w:rFonts w:hint="eastAsia" w:ascii="宋体" w:hAnsi="宋体" w:cs="宋体"/>
                <w:b/>
                <w:bCs/>
              </w:rPr>
              <w:t>证件类型：□营业执照 □组织机构代码证 □其他</w:t>
            </w:r>
          </w:p>
        </w:tc>
        <w:tc>
          <w:tcPr>
            <w:tcW w:w="3846" w:type="dxa"/>
            <w:gridSpan w:val="2"/>
            <w:vAlign w:val="center"/>
          </w:tcPr>
          <w:p>
            <w:pPr>
              <w:adjustRightInd w:val="0"/>
              <w:snapToGrid w:val="0"/>
              <w:spacing w:line="260" w:lineRule="exact"/>
              <w:rPr>
                <w:rFonts w:ascii="宋体" w:hAnsi="宋体" w:cs="宋体"/>
                <w:b/>
                <w:bCs/>
              </w:rPr>
            </w:pPr>
            <w:r>
              <w:rPr>
                <w:rFonts w:hint="eastAsia" w:ascii="宋体" w:hAnsi="宋体" w:cs="宋体"/>
                <w:b/>
                <w:bCs/>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4219" w:type="dxa"/>
            <w:gridSpan w:val="2"/>
            <w:vAlign w:val="center"/>
          </w:tcPr>
          <w:p>
            <w:pPr>
              <w:adjustRightInd w:val="0"/>
              <w:snapToGrid w:val="0"/>
              <w:spacing w:line="260" w:lineRule="exact"/>
              <w:rPr>
                <w:rFonts w:ascii="宋体" w:hAnsi="宋体" w:cs="宋体"/>
                <w:b/>
                <w:bCs/>
              </w:rPr>
            </w:pPr>
            <w:r>
              <w:rPr>
                <w:rFonts w:hint="eastAsia" w:ascii="宋体" w:hAnsi="宋体" w:cs="宋体"/>
                <w:b/>
                <w:bCs/>
              </w:rPr>
              <w:t>法定代表人：</w:t>
            </w:r>
          </w:p>
        </w:tc>
        <w:tc>
          <w:tcPr>
            <w:tcW w:w="5829" w:type="dxa"/>
            <w:gridSpan w:val="3"/>
            <w:vAlign w:val="center"/>
          </w:tcPr>
          <w:p>
            <w:pPr>
              <w:adjustRightInd w:val="0"/>
              <w:snapToGrid w:val="0"/>
              <w:spacing w:line="260" w:lineRule="exact"/>
              <w:rPr>
                <w:rFonts w:ascii="宋体" w:hAnsi="宋体" w:cs="宋体"/>
                <w:b/>
                <w:bCs/>
              </w:rPr>
            </w:pPr>
            <w:r>
              <w:rPr>
                <w:rFonts w:hint="eastAsia" w:ascii="宋体" w:hAnsi="宋体" w:cs="宋体"/>
                <w:b/>
                <w:bCs/>
              </w:rPr>
              <w:t>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4219" w:type="dxa"/>
            <w:gridSpan w:val="2"/>
            <w:vAlign w:val="center"/>
          </w:tcPr>
          <w:p>
            <w:pPr>
              <w:adjustRightInd w:val="0"/>
              <w:snapToGrid w:val="0"/>
              <w:spacing w:line="260" w:lineRule="exact"/>
              <w:rPr>
                <w:rFonts w:ascii="宋体" w:hAnsi="宋体" w:cs="宋体"/>
                <w:b/>
                <w:bCs/>
              </w:rPr>
            </w:pPr>
            <w:r>
              <w:rPr>
                <w:rFonts w:hint="eastAsia" w:ascii="宋体" w:hAnsi="宋体" w:cs="宋体"/>
                <w:b/>
                <w:bCs/>
              </w:rPr>
              <w:t>联系电话：</w:t>
            </w:r>
          </w:p>
        </w:tc>
        <w:tc>
          <w:tcPr>
            <w:tcW w:w="5829" w:type="dxa"/>
            <w:gridSpan w:val="3"/>
            <w:vAlign w:val="center"/>
          </w:tcPr>
          <w:p>
            <w:pPr>
              <w:adjustRightInd w:val="0"/>
              <w:snapToGrid w:val="0"/>
              <w:spacing w:line="260" w:lineRule="exact"/>
              <w:rPr>
                <w:rFonts w:ascii="宋体" w:hAnsi="宋体" w:cs="宋体"/>
                <w:b/>
                <w:bCs/>
              </w:rPr>
            </w:pPr>
            <w:r>
              <w:rPr>
                <w:rFonts w:hint="eastAsia" w:ascii="宋体" w:hAnsi="宋体" w:cs="宋体"/>
                <w:b/>
                <w:bCs/>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10048" w:type="dxa"/>
            <w:gridSpan w:val="5"/>
            <w:tcBorders>
              <w:bottom w:val="single" w:color="auto" w:sz="4" w:space="0"/>
            </w:tcBorders>
            <w:shd w:val="clear" w:color="auto" w:fill="A6A6A6"/>
            <w:vAlign w:val="center"/>
          </w:tcPr>
          <w:p>
            <w:pPr>
              <w:adjustRightInd w:val="0"/>
              <w:snapToGrid w:val="0"/>
              <w:spacing w:line="260" w:lineRule="exact"/>
              <w:jc w:val="center"/>
              <w:rPr>
                <w:rFonts w:ascii="宋体" w:hAnsi="宋体" w:cs="宋体"/>
                <w:b/>
                <w:bCs/>
              </w:rPr>
            </w:pPr>
            <w:r>
              <w:rPr>
                <w:rFonts w:hint="eastAsia" w:ascii="黑体" w:hAnsi="黑体" w:eastAsia="黑体" w:cs="黑体"/>
                <w:b/>
                <w:bCs/>
              </w:rPr>
              <w:t>交    易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4219" w:type="dxa"/>
            <w:gridSpan w:val="2"/>
            <w:tcBorders>
              <w:top w:val="single" w:color="auto" w:sz="4" w:space="0"/>
              <w:right w:val="single" w:color="auto" w:sz="4" w:space="0"/>
            </w:tcBorders>
            <w:vAlign w:val="center"/>
          </w:tcPr>
          <w:p>
            <w:pPr>
              <w:adjustRightInd w:val="0"/>
              <w:snapToGrid w:val="0"/>
              <w:spacing w:line="260" w:lineRule="exact"/>
              <w:jc w:val="left"/>
              <w:rPr>
                <w:rFonts w:ascii="宋体" w:hAnsi="宋体" w:cs="宋体"/>
                <w:b/>
                <w:bCs/>
              </w:rPr>
            </w:pPr>
            <w:r>
              <w:rPr>
                <w:rFonts w:hint="eastAsia" w:ascii="宋体" w:hAnsi="宋体" w:cs="宋体"/>
                <w:b/>
                <w:bCs/>
              </w:rPr>
              <w:t>□认/申购             □赎回</w:t>
            </w:r>
          </w:p>
        </w:tc>
        <w:tc>
          <w:tcPr>
            <w:tcW w:w="5829" w:type="dxa"/>
            <w:gridSpan w:val="3"/>
            <w:tcBorders>
              <w:top w:val="single" w:color="auto" w:sz="4" w:space="0"/>
              <w:left w:val="single" w:color="auto" w:sz="4" w:space="0"/>
            </w:tcBorders>
            <w:vAlign w:val="center"/>
          </w:tcPr>
          <w:p>
            <w:pPr>
              <w:adjustRightInd w:val="0"/>
              <w:snapToGrid w:val="0"/>
              <w:spacing w:line="260" w:lineRule="exact"/>
              <w:jc w:val="left"/>
              <w:rPr>
                <w:rFonts w:ascii="宋体" w:hAnsi="宋体" w:cs="宋体"/>
                <w:b/>
                <w:bCs/>
                <w:highlight w:val="lightGray"/>
              </w:rPr>
            </w:pPr>
            <w:r>
              <w:rPr>
                <w:rFonts w:hint="eastAsia" w:ascii="宋体" w:hAnsi="宋体" w:cs="宋体"/>
                <w:b/>
                <w:bCs/>
              </w:rPr>
              <w:t>产品代码：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10048" w:type="dxa"/>
            <w:gridSpan w:val="5"/>
            <w:vAlign w:val="center"/>
          </w:tcPr>
          <w:p>
            <w:pPr>
              <w:adjustRightInd w:val="0"/>
              <w:snapToGrid w:val="0"/>
              <w:spacing w:line="260" w:lineRule="exact"/>
              <w:rPr>
                <w:rFonts w:ascii="宋体" w:hAnsi="宋体" w:cs="宋体"/>
                <w:b/>
                <w:bCs/>
              </w:rPr>
            </w:pPr>
            <w:r>
              <w:rPr>
                <w:rFonts w:hint="eastAsia" w:ascii="宋体" w:hAnsi="宋体" w:cs="宋体"/>
                <w:b/>
                <w:bCs/>
              </w:rPr>
              <w:t>产品名称：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4219" w:type="dxa"/>
            <w:gridSpan w:val="2"/>
            <w:vAlign w:val="center"/>
          </w:tcPr>
          <w:p>
            <w:pPr>
              <w:adjustRightInd w:val="0"/>
              <w:snapToGrid w:val="0"/>
              <w:spacing w:line="260" w:lineRule="exact"/>
              <w:rPr>
                <w:rFonts w:ascii="宋体" w:hAnsi="宋体" w:cs="宋体"/>
                <w:b/>
                <w:bCs/>
              </w:rPr>
            </w:pPr>
            <w:r>
              <w:rPr>
                <w:rFonts w:hint="eastAsia" w:ascii="宋体" w:hAnsi="宋体" w:cs="宋体"/>
                <w:b/>
                <w:bCs/>
              </w:rPr>
              <w:t>认/申购金额（小写）：</w:t>
            </w:r>
          </w:p>
        </w:tc>
        <w:tc>
          <w:tcPr>
            <w:tcW w:w="5829" w:type="dxa"/>
            <w:gridSpan w:val="3"/>
            <w:vAlign w:val="center"/>
          </w:tcPr>
          <w:p>
            <w:pPr>
              <w:adjustRightInd w:val="0"/>
              <w:snapToGrid w:val="0"/>
              <w:spacing w:line="260" w:lineRule="exact"/>
              <w:rPr>
                <w:rFonts w:ascii="宋体" w:hAnsi="宋体" w:cs="宋体"/>
                <w:b/>
                <w:bCs/>
              </w:rPr>
            </w:pPr>
            <w:r>
              <w:rPr>
                <w:rFonts w:hint="eastAsia" w:ascii="宋体" w:hAnsi="宋体" w:cs="宋体"/>
                <w:b/>
                <w:bCs/>
              </w:rPr>
              <w:t>赎回份额（小写）：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10048" w:type="dxa"/>
            <w:gridSpan w:val="5"/>
            <w:tcBorders>
              <w:bottom w:val="single" w:color="auto" w:sz="4" w:space="0"/>
            </w:tcBorders>
            <w:vAlign w:val="center"/>
          </w:tcPr>
          <w:p>
            <w:pPr>
              <w:adjustRightInd w:val="0"/>
              <w:snapToGrid w:val="0"/>
              <w:spacing w:line="260" w:lineRule="exact"/>
              <w:rPr>
                <w:rFonts w:ascii="宋体" w:hAnsi="宋体" w:cs="宋体"/>
                <w:b/>
                <w:bCs/>
              </w:rPr>
            </w:pPr>
            <w:r>
              <w:rPr>
                <w:rFonts w:hint="eastAsia" w:ascii="宋体" w:hAnsi="宋体" w:cs="宋体"/>
                <w:b/>
                <w:bCs/>
              </w:rPr>
              <w:t>授权指定帐户（个人/机构）：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4219" w:type="dxa"/>
            <w:gridSpan w:val="2"/>
            <w:tcBorders>
              <w:top w:val="single" w:color="auto" w:sz="4" w:space="0"/>
              <w:right w:val="single" w:color="auto" w:sz="4" w:space="0"/>
            </w:tcBorders>
            <w:vAlign w:val="center"/>
          </w:tcPr>
          <w:p>
            <w:pPr>
              <w:adjustRightInd w:val="0"/>
              <w:snapToGrid w:val="0"/>
              <w:spacing w:line="260" w:lineRule="exact"/>
              <w:rPr>
                <w:rFonts w:ascii="宋体" w:hAnsi="宋体" w:cs="宋体"/>
                <w:b/>
                <w:bCs/>
              </w:rPr>
            </w:pPr>
            <w:r>
              <w:rPr>
                <w:rFonts w:hint="eastAsia" w:ascii="宋体" w:hAnsi="宋体" w:cs="宋体"/>
                <w:b/>
                <w:bCs/>
              </w:rPr>
              <w:t>是否已预约额度（个人）：□是   □否</w:t>
            </w:r>
          </w:p>
        </w:tc>
        <w:tc>
          <w:tcPr>
            <w:tcW w:w="5829" w:type="dxa"/>
            <w:gridSpan w:val="3"/>
            <w:tcBorders>
              <w:top w:val="single" w:color="auto" w:sz="4" w:space="0"/>
              <w:left w:val="single" w:color="auto" w:sz="4" w:space="0"/>
            </w:tcBorders>
            <w:vAlign w:val="center"/>
          </w:tcPr>
          <w:p>
            <w:pPr>
              <w:adjustRightInd w:val="0"/>
              <w:snapToGrid w:val="0"/>
              <w:spacing w:line="260" w:lineRule="exact"/>
              <w:rPr>
                <w:rFonts w:ascii="宋体" w:hAnsi="宋体" w:cs="宋体"/>
                <w:b/>
                <w:bCs/>
              </w:rPr>
            </w:pPr>
            <w:r>
              <w:rPr>
                <w:rFonts w:hint="eastAsia" w:ascii="宋体" w:hAnsi="宋体" w:cs="宋体"/>
                <w:b/>
                <w:bCs/>
              </w:rPr>
              <w:t>是否同意取消剩余预约额度（个人）：□是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10048" w:type="dxa"/>
            <w:gridSpan w:val="5"/>
            <w:shd w:val="clear" w:color="auto" w:fill="A6A6A6"/>
            <w:vAlign w:val="center"/>
          </w:tcPr>
          <w:p>
            <w:pPr>
              <w:adjustRightInd w:val="0"/>
              <w:snapToGrid w:val="0"/>
              <w:spacing w:line="260" w:lineRule="exact"/>
              <w:jc w:val="center"/>
              <w:rPr>
                <w:rFonts w:ascii="黑体" w:hAnsi="黑体" w:eastAsia="黑体"/>
                <w:b/>
                <w:bCs/>
              </w:rPr>
            </w:pPr>
            <w:r>
              <w:rPr>
                <w:rFonts w:hint="eastAsia" w:ascii="黑体" w:hAnsi="黑体" w:eastAsia="黑体" w:cs="黑体"/>
                <w:b/>
                <w:bCs/>
              </w:rPr>
              <w:t>签       约       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6" w:hRule="atLeast"/>
          <w:jc w:val="center"/>
        </w:trPr>
        <w:tc>
          <w:tcPr>
            <w:tcW w:w="10048" w:type="dxa"/>
            <w:gridSpan w:val="5"/>
          </w:tcPr>
          <w:p>
            <w:pPr>
              <w:adjustRightInd w:val="0"/>
              <w:snapToGrid w:val="0"/>
              <w:spacing w:line="260" w:lineRule="exact"/>
              <w:rPr>
                <w:rFonts w:ascii="黑体" w:hAnsi="黑体" w:eastAsia="黑体"/>
                <w:b/>
                <w:bCs/>
              </w:rPr>
            </w:pPr>
          </w:p>
          <w:p>
            <w:pPr>
              <w:adjustRightInd w:val="0"/>
              <w:snapToGrid w:val="0"/>
              <w:spacing w:line="260" w:lineRule="exact"/>
              <w:rPr>
                <w:rFonts w:ascii="宋体" w:hAnsi="宋体" w:cs="宋体"/>
                <w:b/>
                <w:bCs/>
                <w:sz w:val="20"/>
                <w:szCs w:val="20"/>
              </w:rPr>
            </w:pPr>
            <w:r>
              <w:rPr>
                <w:rFonts w:hint="eastAsia" w:ascii="宋体" w:hAnsi="宋体" w:cs="宋体"/>
                <w:b/>
                <w:bCs/>
                <w:sz w:val="20"/>
                <w:szCs w:val="20"/>
              </w:rPr>
              <w:t>风险提示：</w:t>
            </w:r>
          </w:p>
          <w:p>
            <w:pPr>
              <w:tabs>
                <w:tab w:val="left" w:pos="1871"/>
              </w:tabs>
              <w:adjustRightInd w:val="0"/>
              <w:snapToGrid w:val="0"/>
              <w:spacing w:line="260" w:lineRule="exact"/>
              <w:ind w:firstLine="402" w:firstLineChars="200"/>
              <w:jc w:val="left"/>
              <w:rPr>
                <w:rFonts w:ascii="宋体" w:hAnsi="宋体" w:cs="宋体"/>
                <w:sz w:val="20"/>
                <w:szCs w:val="20"/>
              </w:rPr>
            </w:pPr>
            <w:r>
              <w:rPr>
                <w:rFonts w:hint="eastAsia" w:ascii="宋体" w:hAnsi="宋体" w:cs="宋体"/>
                <w:b/>
                <w:sz w:val="20"/>
                <w:szCs w:val="20"/>
              </w:rPr>
              <w:t>第一条</w:t>
            </w:r>
            <w:r>
              <w:rPr>
                <w:rFonts w:hint="eastAsia" w:ascii="宋体" w:hAnsi="宋体" w:cs="宋体"/>
                <w:sz w:val="20"/>
                <w:szCs w:val="20"/>
              </w:rPr>
              <w:t xml:space="preserve">  本协议书与协议书条款、投资者权益须知、风险揭示书、产品说明书共同构成客户与绍兴银行之间的理财产品交易合同（以下简称：本合同），客户在认真阅读上述文件后签署本合同。</w:t>
            </w:r>
          </w:p>
          <w:p>
            <w:pPr>
              <w:tabs>
                <w:tab w:val="left" w:pos="1871"/>
              </w:tabs>
              <w:adjustRightInd w:val="0"/>
              <w:snapToGrid w:val="0"/>
              <w:spacing w:line="260" w:lineRule="exact"/>
              <w:ind w:firstLine="402" w:firstLineChars="200"/>
              <w:rPr>
                <w:rFonts w:ascii="宋体" w:hAnsi="宋体" w:cs="宋体"/>
                <w:sz w:val="20"/>
                <w:szCs w:val="20"/>
              </w:rPr>
            </w:pPr>
            <w:r>
              <w:rPr>
                <w:rFonts w:hint="eastAsia" w:ascii="宋体" w:hAnsi="宋体" w:cs="宋体"/>
                <w:b/>
                <w:sz w:val="20"/>
                <w:szCs w:val="20"/>
              </w:rPr>
              <w:t>第二条</w:t>
            </w:r>
            <w:r>
              <w:rPr>
                <w:rFonts w:hint="eastAsia" w:ascii="宋体" w:hAnsi="宋体" w:cs="宋体"/>
                <w:sz w:val="20"/>
                <w:szCs w:val="20"/>
              </w:rPr>
              <w:t xml:space="preserve">  客户按交易内容办理银行理财产品（以下简称：“本产品”）相关交易，并授权绍兴银行按照本合同约定的投资方向和方式，进行投资和资产管理，投资收益和风险由客户与绍兴银行按照本合同约定方式承担。客户与银行双方一经签署本协议书，本合同即于本协议书签署日期发生法律效力。</w:t>
            </w:r>
          </w:p>
          <w:p>
            <w:pPr>
              <w:tabs>
                <w:tab w:val="left" w:pos="1871"/>
              </w:tabs>
              <w:adjustRightInd w:val="0"/>
              <w:snapToGrid w:val="0"/>
              <w:spacing w:line="260" w:lineRule="exact"/>
              <w:ind w:firstLine="402" w:firstLineChars="200"/>
              <w:rPr>
                <w:rFonts w:ascii="宋体" w:hAnsi="宋体" w:cs="宋体"/>
                <w:sz w:val="20"/>
                <w:szCs w:val="20"/>
              </w:rPr>
            </w:pPr>
            <w:r>
              <w:rPr>
                <w:rFonts w:hint="eastAsia" w:ascii="宋体" w:hAnsi="宋体" w:cs="宋体"/>
                <w:b/>
                <w:sz w:val="20"/>
                <w:szCs w:val="20"/>
              </w:rPr>
              <w:t>第三条</w:t>
            </w:r>
            <w:r>
              <w:rPr>
                <w:rFonts w:hint="eastAsia" w:ascii="宋体" w:hAnsi="宋体" w:cs="宋体"/>
                <w:sz w:val="20"/>
                <w:szCs w:val="20"/>
              </w:rPr>
              <w:t xml:space="preserve">  客户签署本协议书则被视为已详细阅读过产品相关销售文件，绍兴银行已就产品相关销售文件中的内容向客户进行了详细的说明和解释，客户已不存在任何疑问或异议，并充分理解相关的收益和潜在风险，自愿办理相关理财交易，并遵守本合同项下的各项规定。</w:t>
            </w:r>
          </w:p>
          <w:p>
            <w:pPr>
              <w:adjustRightInd w:val="0"/>
              <w:snapToGrid w:val="0"/>
              <w:spacing w:line="260" w:lineRule="exact"/>
              <w:ind w:left="360"/>
              <w:rPr>
                <w:rFonts w:ascii="宋体" w:hAnsi="宋体" w:cs="宋体"/>
              </w:rPr>
            </w:pPr>
          </w:p>
          <w:p>
            <w:pPr>
              <w:adjustRightInd w:val="0"/>
              <w:snapToGrid w:val="0"/>
              <w:spacing w:line="260" w:lineRule="exact"/>
              <w:ind w:left="360"/>
              <w:rPr>
                <w:rFonts w:ascii="宋体" w:hAnsi="宋体" w:cs="宋体"/>
              </w:rPr>
            </w:pPr>
          </w:p>
          <w:p>
            <w:pPr>
              <w:adjustRightInd w:val="0"/>
              <w:snapToGrid w:val="0"/>
              <w:spacing w:line="260" w:lineRule="exact"/>
              <w:rPr>
                <w:rFonts w:ascii="宋体" w:hAnsi="宋体" w:cs="宋体"/>
                <w:sz w:val="20"/>
                <w:szCs w:val="20"/>
              </w:rPr>
            </w:pPr>
            <w:r>
              <w:rPr>
                <w:rFonts w:hint="eastAsia" w:ascii="宋体" w:hAnsi="宋体" w:cs="宋体"/>
                <w:sz w:val="20"/>
                <w:szCs w:val="20"/>
              </w:rPr>
              <w:t>银行签章：绍兴银行</w:t>
            </w:r>
            <w:r>
              <w:rPr>
                <w:rFonts w:hint="eastAsia" w:ascii="宋体" w:hAnsi="宋体" w:cs="宋体"/>
                <w:sz w:val="20"/>
                <w:szCs w:val="20"/>
                <w:u w:val="single"/>
              </w:rPr>
              <w:t xml:space="preserve">               </w:t>
            </w:r>
            <w:r>
              <w:rPr>
                <w:rFonts w:hint="eastAsia" w:ascii="宋体" w:hAnsi="宋体" w:cs="宋体"/>
                <w:sz w:val="20"/>
                <w:szCs w:val="20"/>
              </w:rPr>
              <w:t xml:space="preserve">              客户签章（个人）：</w:t>
            </w:r>
          </w:p>
          <w:p>
            <w:pPr>
              <w:adjustRightInd w:val="0"/>
              <w:snapToGrid w:val="0"/>
              <w:spacing w:line="260" w:lineRule="exact"/>
              <w:rPr>
                <w:rFonts w:ascii="宋体" w:hAnsi="宋体" w:cs="宋体"/>
                <w:sz w:val="20"/>
                <w:szCs w:val="20"/>
              </w:rPr>
            </w:pPr>
            <w:r>
              <w:rPr>
                <w:rFonts w:hint="eastAsia" w:ascii="宋体" w:hAnsi="宋体" w:cs="宋体"/>
                <w:sz w:val="20"/>
                <w:szCs w:val="20"/>
              </w:rPr>
              <w:t>（加盖经办行“业务公章”）                      日期：    年    月   日</w:t>
            </w:r>
          </w:p>
          <w:p>
            <w:pPr>
              <w:adjustRightInd w:val="0"/>
              <w:snapToGrid w:val="0"/>
              <w:spacing w:line="260" w:lineRule="exact"/>
              <w:ind w:left="360"/>
              <w:rPr>
                <w:rFonts w:ascii="宋体" w:hAnsi="宋体" w:cs="宋体"/>
                <w:sz w:val="20"/>
                <w:szCs w:val="20"/>
              </w:rPr>
            </w:pPr>
          </w:p>
          <w:p>
            <w:pPr>
              <w:adjustRightInd w:val="0"/>
              <w:snapToGrid w:val="0"/>
              <w:spacing w:line="260" w:lineRule="exact"/>
              <w:ind w:left="360"/>
              <w:rPr>
                <w:rFonts w:ascii="宋体" w:hAnsi="宋体" w:cs="宋体"/>
                <w:sz w:val="20"/>
                <w:szCs w:val="20"/>
              </w:rPr>
            </w:pPr>
          </w:p>
          <w:p>
            <w:pPr>
              <w:adjustRightInd w:val="0"/>
              <w:snapToGrid w:val="0"/>
              <w:spacing w:line="260" w:lineRule="exact"/>
              <w:ind w:left="360"/>
              <w:rPr>
                <w:rFonts w:ascii="宋体" w:hAnsi="宋体" w:cs="宋体"/>
                <w:sz w:val="20"/>
                <w:szCs w:val="20"/>
              </w:rPr>
            </w:pPr>
          </w:p>
          <w:p>
            <w:pPr>
              <w:adjustRightInd w:val="0"/>
              <w:snapToGrid w:val="0"/>
              <w:spacing w:line="260" w:lineRule="exact"/>
              <w:rPr>
                <w:rFonts w:ascii="宋体" w:hAnsi="宋体" w:cs="宋体"/>
                <w:sz w:val="20"/>
                <w:szCs w:val="20"/>
              </w:rPr>
            </w:pPr>
            <w:r>
              <w:rPr>
                <w:rFonts w:hint="eastAsia" w:ascii="宋体" w:hAnsi="宋体" w:cs="宋体"/>
                <w:sz w:val="20"/>
                <w:szCs w:val="20"/>
              </w:rPr>
              <w:t>经办行经办人员：                               客户签章（机构）：</w:t>
            </w:r>
          </w:p>
          <w:p>
            <w:pPr>
              <w:adjustRightInd w:val="0"/>
              <w:snapToGrid w:val="0"/>
              <w:spacing w:line="260" w:lineRule="exact"/>
              <w:rPr>
                <w:rFonts w:ascii="宋体" w:hAnsi="宋体" w:cs="宋体"/>
                <w:sz w:val="20"/>
                <w:szCs w:val="20"/>
              </w:rPr>
            </w:pPr>
            <w:r>
              <w:rPr>
                <w:rFonts w:hint="eastAsia" w:ascii="宋体" w:hAnsi="宋体" w:cs="宋体"/>
                <w:sz w:val="20"/>
                <w:szCs w:val="20"/>
              </w:rPr>
              <w:t>（加盖个人名章或签字）                         法定代表人（或授权代理人）：</w:t>
            </w:r>
          </w:p>
          <w:p>
            <w:pPr>
              <w:adjustRightInd w:val="0"/>
              <w:snapToGrid w:val="0"/>
              <w:spacing w:line="260" w:lineRule="exact"/>
              <w:rPr>
                <w:rFonts w:ascii="宋体" w:hAnsi="宋体" w:cs="宋体"/>
                <w:sz w:val="20"/>
                <w:szCs w:val="20"/>
              </w:rPr>
            </w:pPr>
            <w:r>
              <w:rPr>
                <w:rFonts w:hint="eastAsia" w:ascii="宋体" w:hAnsi="宋体" w:cs="宋体"/>
                <w:sz w:val="20"/>
                <w:szCs w:val="20"/>
              </w:rPr>
              <w:t>日期：    年    月   日                        日期：    年    月   日</w:t>
            </w:r>
          </w:p>
          <w:p>
            <w:pPr>
              <w:adjustRightInd w:val="0"/>
              <w:snapToGrid w:val="0"/>
              <w:spacing w:line="260" w:lineRule="exact"/>
              <w:rPr>
                <w:rFonts w:ascii="宋体" w:hAnsi="宋体" w:cs="宋体"/>
                <w:sz w:val="20"/>
                <w:szCs w:val="20"/>
              </w:rPr>
            </w:pPr>
          </w:p>
          <w:p>
            <w:pPr>
              <w:adjustRightInd w:val="0"/>
              <w:snapToGrid w:val="0"/>
              <w:spacing w:line="260" w:lineRule="exact"/>
              <w:rPr>
                <w:rFonts w:ascii="宋体" w:hAnsi="宋体" w:cs="宋体"/>
                <w:sz w:val="20"/>
                <w:szCs w:val="20"/>
              </w:rPr>
            </w:pPr>
          </w:p>
          <w:p>
            <w:pPr>
              <w:adjustRightInd w:val="0"/>
              <w:snapToGrid w:val="0"/>
              <w:spacing w:line="260" w:lineRule="exact"/>
              <w:rPr>
                <w:rFonts w:ascii="黑体" w:hAnsi="黑体" w:eastAsia="黑体"/>
                <w:b/>
                <w:bCs/>
              </w:rPr>
            </w:pPr>
            <w:r>
              <w:rPr>
                <w:rFonts w:hint="eastAsia" w:ascii="宋体" w:hAnsi="宋体" w:cs="宋体"/>
                <w:sz w:val="20"/>
                <w:szCs w:val="20"/>
              </w:rPr>
              <w:t>（本协议书一式二联，第一联由银行留存，第二联由客户留存。）</w:t>
            </w:r>
          </w:p>
        </w:tc>
      </w:tr>
    </w:tbl>
    <w:p>
      <w:pPr>
        <w:spacing w:line="360" w:lineRule="auto"/>
        <w:rPr>
          <w:rFonts w:ascii="黑体" w:hAnsi="宋体" w:eastAsia="黑体"/>
          <w:b/>
          <w:bCs/>
          <w:sz w:val="36"/>
          <w:szCs w:val="36"/>
        </w:rPr>
        <w:sectPr>
          <w:pgSz w:w="11906" w:h="16838"/>
          <w:pgMar w:top="1383" w:right="782" w:bottom="1157" w:left="782" w:header="851" w:footer="992" w:gutter="0"/>
          <w:cols w:space="720" w:num="1"/>
          <w:docGrid w:type="lines" w:linePitch="312" w:charSpace="0"/>
        </w:sectPr>
      </w:pPr>
    </w:p>
    <w:p>
      <w:pPr>
        <w:spacing w:before="312" w:beforeLines="100"/>
        <w:jc w:val="center"/>
        <w:rPr>
          <w:rFonts w:ascii="黑体" w:hAnsi="宋体" w:eastAsia="黑体"/>
          <w:b/>
          <w:bCs/>
          <w:sz w:val="36"/>
          <w:szCs w:val="36"/>
        </w:rPr>
      </w:pPr>
      <w:r>
        <w:rPr>
          <w:rFonts w:hint="eastAsia" w:ascii="黑体" w:hAnsi="宋体" w:eastAsia="黑体"/>
          <w:b/>
          <w:bCs/>
          <w:sz w:val="36"/>
          <w:szCs w:val="36"/>
        </w:rPr>
        <w:t>“金兰花理财”系列人民币理财产品协议书条款</w:t>
      </w:r>
    </w:p>
    <w:p>
      <w:pPr>
        <w:spacing w:before="312" w:beforeLines="100" w:line="360" w:lineRule="auto"/>
        <w:ind w:firstLine="400" w:firstLineChars="200"/>
        <w:jc w:val="left"/>
        <w:rPr>
          <w:rFonts w:ascii="宋体" w:hAnsi="宋体" w:cs="宋体"/>
          <w:sz w:val="20"/>
          <w:szCs w:val="20"/>
        </w:rPr>
      </w:pPr>
      <w:r>
        <w:rPr>
          <w:rFonts w:hint="eastAsia" w:ascii="宋体" w:hAnsi="宋体" w:cs="宋体"/>
          <w:bCs/>
          <w:sz w:val="20"/>
          <w:szCs w:val="20"/>
        </w:rPr>
        <w:t>本协议书条款是《“金兰花理财”系列人民币理财产品协议书》（以下简称“协议书”）的组成部分。协议书与协议书条款、投资者权益须知、风险揭示书、产品说明书共同构成客户与绍兴银行之间的理财产品交易合同。本合同系双方经平等自愿协商一致，根据《中华人民共和国合同法》等有关法律订立。</w:t>
      </w:r>
    </w:p>
    <w:p>
      <w:pPr>
        <w:numPr>
          <w:ilvl w:val="0"/>
          <w:numId w:val="23"/>
        </w:numPr>
        <w:spacing w:line="360" w:lineRule="auto"/>
        <w:ind w:firstLine="402" w:firstLineChars="200"/>
        <w:outlineLvl w:val="0"/>
        <w:rPr>
          <w:rFonts w:ascii="宋体" w:hAnsi="宋体" w:cs="宋体"/>
          <w:b/>
          <w:sz w:val="20"/>
          <w:szCs w:val="20"/>
        </w:rPr>
      </w:pPr>
      <w:r>
        <w:rPr>
          <w:rFonts w:hint="eastAsia" w:ascii="宋体" w:hAnsi="宋体" w:cs="宋体"/>
          <w:b/>
          <w:sz w:val="20"/>
          <w:szCs w:val="20"/>
        </w:rPr>
        <w:t>客户的权利与义务</w:t>
      </w:r>
    </w:p>
    <w:p>
      <w:pPr>
        <w:spacing w:line="360" w:lineRule="auto"/>
        <w:rPr>
          <w:rFonts w:ascii="宋体" w:hAnsi="宋体" w:cs="宋体"/>
          <w:sz w:val="20"/>
          <w:szCs w:val="20"/>
        </w:rPr>
      </w:pPr>
      <w:r>
        <w:rPr>
          <w:rFonts w:hint="eastAsia" w:ascii="宋体" w:hAnsi="宋体" w:cs="宋体"/>
          <w:sz w:val="20"/>
          <w:szCs w:val="20"/>
        </w:rPr>
        <w:t xml:space="preserve">    ·客户必须保证其理财资金为合法拥有的资金。客户按其购买的资金额在本合同中享受相应的权利，承担相应的义务和风险。</w:t>
      </w:r>
    </w:p>
    <w:p>
      <w:pPr>
        <w:spacing w:line="360" w:lineRule="auto"/>
        <w:ind w:firstLine="400" w:firstLineChars="200"/>
        <w:rPr>
          <w:rFonts w:ascii="宋体" w:hAnsi="宋体" w:cs="宋体"/>
          <w:sz w:val="20"/>
          <w:szCs w:val="20"/>
        </w:rPr>
      </w:pPr>
      <w:r>
        <w:rPr>
          <w:rFonts w:hint="eastAsia" w:ascii="宋体" w:hAnsi="宋体" w:cs="宋体"/>
          <w:sz w:val="20"/>
          <w:szCs w:val="20"/>
        </w:rPr>
        <w:t>·客户应在签署本协议的同时在“授权指定账户”存入足额的购买资金，并确保存入的账户余额大于或等于购买金额。因客户账户资金余额不足或账户处于非正常状态(如挂失状态)，而导致购买不成功，本协议自动终止，绍兴银行不计付本理财产品任何收益，并且绍兴银行对此不承担任何责任。</w:t>
      </w:r>
    </w:p>
    <w:p>
      <w:pPr>
        <w:spacing w:line="360" w:lineRule="auto"/>
        <w:ind w:firstLine="400" w:firstLineChars="200"/>
        <w:rPr>
          <w:rFonts w:ascii="宋体" w:hAnsi="宋体" w:cs="宋体"/>
          <w:sz w:val="20"/>
          <w:szCs w:val="20"/>
        </w:rPr>
      </w:pPr>
      <w:r>
        <w:rPr>
          <w:rFonts w:hint="eastAsia" w:ascii="宋体" w:hAnsi="宋体" w:cs="宋体"/>
          <w:sz w:val="20"/>
          <w:szCs w:val="20"/>
        </w:rPr>
        <w:t>·若因有权机关采取强制措施导致客户的本理财产品份额部分或全部被扣划，均视为客户本人就理财产品份额进行赎回，绍兴银行不计付被扣划的理财产品资金。</w:t>
      </w:r>
    </w:p>
    <w:p>
      <w:pPr>
        <w:spacing w:line="360" w:lineRule="auto"/>
        <w:ind w:firstLine="402" w:firstLineChars="200"/>
        <w:rPr>
          <w:rFonts w:ascii="宋体" w:hAnsi="宋体" w:cs="宋体"/>
          <w:sz w:val="20"/>
          <w:szCs w:val="20"/>
        </w:rPr>
      </w:pPr>
      <w:r>
        <w:rPr>
          <w:rFonts w:hint="eastAsia" w:ascii="宋体" w:hAnsi="宋体" w:cs="宋体"/>
          <w:b/>
          <w:bCs/>
          <w:sz w:val="20"/>
          <w:szCs w:val="20"/>
        </w:rPr>
        <w:t>·</w:t>
      </w:r>
      <w:r>
        <w:rPr>
          <w:rFonts w:hint="eastAsia" w:ascii="宋体" w:hAnsi="宋体" w:cs="宋体"/>
          <w:sz w:val="20"/>
          <w:szCs w:val="20"/>
        </w:rPr>
        <w:t>本理财产品成立后，客户是否可以提前赎回、是否可质押、是否可转让，按照产品说明书中的约定执行。</w:t>
      </w:r>
    </w:p>
    <w:p>
      <w:pPr>
        <w:spacing w:line="360" w:lineRule="auto"/>
        <w:ind w:firstLine="402" w:firstLineChars="200"/>
        <w:rPr>
          <w:rFonts w:ascii="宋体" w:hAnsi="宋体" w:cs="宋体"/>
          <w:sz w:val="20"/>
          <w:szCs w:val="20"/>
        </w:rPr>
      </w:pPr>
      <w:r>
        <w:rPr>
          <w:rFonts w:hint="eastAsia" w:ascii="宋体" w:hAnsi="宋体" w:cs="宋体"/>
          <w:b/>
          <w:bCs/>
          <w:sz w:val="20"/>
          <w:szCs w:val="20"/>
        </w:rPr>
        <w:t>·</w:t>
      </w:r>
      <w:r>
        <w:rPr>
          <w:rFonts w:hint="eastAsia" w:ascii="宋体" w:hAnsi="宋体" w:cs="宋体"/>
          <w:sz w:val="20"/>
          <w:szCs w:val="20"/>
        </w:rPr>
        <w:t>本协议终止前，客户不得将“授权指定账户”销户。若发生因客户注销“授权指定账户”造成无法正常领取到期款项的，绍兴银行不承担任何责任。</w:t>
      </w:r>
    </w:p>
    <w:p>
      <w:pPr>
        <w:numPr>
          <w:ilvl w:val="0"/>
          <w:numId w:val="23"/>
        </w:numPr>
        <w:spacing w:line="360" w:lineRule="auto"/>
        <w:ind w:firstLine="402" w:firstLineChars="200"/>
        <w:outlineLvl w:val="0"/>
        <w:rPr>
          <w:rFonts w:ascii="宋体" w:hAnsi="宋体" w:cs="宋体"/>
          <w:b/>
          <w:sz w:val="20"/>
          <w:szCs w:val="20"/>
        </w:rPr>
      </w:pPr>
      <w:r>
        <w:rPr>
          <w:rFonts w:hint="eastAsia" w:ascii="宋体" w:hAnsi="宋体" w:cs="宋体"/>
          <w:b/>
          <w:sz w:val="20"/>
          <w:szCs w:val="20"/>
        </w:rPr>
        <w:t>客户声明：</w:t>
      </w:r>
    </w:p>
    <w:p>
      <w:pPr>
        <w:spacing w:line="360" w:lineRule="auto"/>
        <w:rPr>
          <w:rFonts w:ascii="宋体" w:hAnsi="宋体" w:cs="宋体"/>
          <w:b/>
          <w:bCs/>
          <w:sz w:val="20"/>
          <w:szCs w:val="20"/>
        </w:rPr>
      </w:pPr>
      <w:r>
        <w:rPr>
          <w:rFonts w:hint="eastAsia" w:ascii="宋体" w:hAnsi="宋体" w:cs="宋体"/>
          <w:sz w:val="20"/>
          <w:szCs w:val="20"/>
        </w:rPr>
        <w:t xml:space="preserve">    </w:t>
      </w:r>
      <w:r>
        <w:rPr>
          <w:rFonts w:hint="eastAsia" w:ascii="宋体" w:hAnsi="宋体" w:cs="宋体"/>
          <w:b/>
          <w:bCs/>
          <w:sz w:val="20"/>
          <w:szCs w:val="20"/>
        </w:rPr>
        <w:t>·绍兴银行就理财产品销售过程中获知的客户信息承担保密义务。非经客户事先许可，不得向第三方披露，但法律法规或监管规定另有要求的除外。客户在此同意并授权，绍兴银行可根据监管要求，为理财产品登记等需要，向登记部门或监管机构提供客户相关信息。</w:t>
      </w:r>
    </w:p>
    <w:p>
      <w:pPr>
        <w:spacing w:line="360" w:lineRule="auto"/>
        <w:ind w:firstLine="402" w:firstLineChars="200"/>
        <w:rPr>
          <w:rFonts w:ascii="宋体" w:hAnsi="宋体" w:cs="宋体"/>
          <w:b/>
          <w:bCs/>
          <w:sz w:val="20"/>
          <w:szCs w:val="20"/>
        </w:rPr>
      </w:pPr>
      <w:r>
        <w:rPr>
          <w:rFonts w:hint="eastAsia" w:ascii="宋体" w:hAnsi="宋体" w:cs="宋体"/>
          <w:b/>
          <w:bCs/>
          <w:sz w:val="20"/>
          <w:szCs w:val="20"/>
        </w:rPr>
        <w:t>·在签署本产品协议书前，绍兴银行已就本合同的全部条款和内容向客户进行了详细的说明和解释，客户已认真阅读本产品协议条款及对应产品相关销售文件，对有关条款不存在任何疑问或异议，并对协议双方的权利、义务、责任与风险有清楚和准确的理解。</w:t>
      </w:r>
    </w:p>
    <w:p>
      <w:pPr>
        <w:spacing w:line="360" w:lineRule="auto"/>
        <w:rPr>
          <w:rFonts w:ascii="宋体" w:hAnsi="宋体" w:cs="宋体"/>
          <w:sz w:val="20"/>
          <w:szCs w:val="20"/>
        </w:rPr>
      </w:pPr>
      <w:r>
        <w:rPr>
          <w:rFonts w:hint="eastAsia" w:ascii="宋体" w:hAnsi="宋体" w:cs="宋体"/>
          <w:b/>
          <w:bCs/>
          <w:sz w:val="20"/>
          <w:szCs w:val="20"/>
        </w:rPr>
        <w:t xml:space="preserve">    ·客户授权绍兴银行按投资金额于购买日冻结客户授权指定账户资金，并授权绍兴银行于确认日从此账户扣划相应的购买资金。</w:t>
      </w:r>
    </w:p>
    <w:p>
      <w:pPr>
        <w:numPr>
          <w:ilvl w:val="0"/>
          <w:numId w:val="23"/>
        </w:numPr>
        <w:spacing w:line="360" w:lineRule="auto"/>
        <w:ind w:firstLine="402" w:firstLineChars="200"/>
        <w:outlineLvl w:val="0"/>
        <w:rPr>
          <w:rFonts w:ascii="宋体" w:hAnsi="宋体" w:cs="宋体"/>
          <w:b/>
          <w:sz w:val="20"/>
          <w:szCs w:val="20"/>
        </w:rPr>
      </w:pPr>
      <w:r>
        <w:rPr>
          <w:rFonts w:hint="eastAsia" w:ascii="宋体" w:hAnsi="宋体" w:cs="宋体"/>
          <w:b/>
          <w:sz w:val="20"/>
          <w:szCs w:val="20"/>
        </w:rPr>
        <w:t>争议处理</w:t>
      </w:r>
    </w:p>
    <w:p>
      <w:pPr>
        <w:spacing w:line="360" w:lineRule="auto"/>
        <w:rPr>
          <w:rFonts w:ascii="黑体" w:hAnsi="宋体" w:eastAsia="黑体"/>
          <w:b/>
          <w:bCs/>
          <w:sz w:val="36"/>
          <w:szCs w:val="36"/>
        </w:rPr>
      </w:pPr>
      <w:r>
        <w:rPr>
          <w:rFonts w:hint="eastAsia" w:ascii="宋体" w:hAnsi="宋体" w:cs="宋体"/>
          <w:sz w:val="20"/>
          <w:szCs w:val="20"/>
        </w:rPr>
        <w:t xml:space="preserve">    本协议履行过程中所发生的一切争议，双方应本着诚实守信原则友好协商解决，如协商未果，可提请绍兴银行经办行所在地人民法院解决。</w:t>
      </w:r>
    </w:p>
    <w:p/>
    <w:sectPr>
      <w:pgSz w:w="11906" w:h="16838"/>
      <w:pgMar w:top="1440" w:right="567" w:bottom="1440"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黑体"/>
    <w:panose1 w:val="020B0604020202020204"/>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B0604020202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B03A1"/>
    <w:multiLevelType w:val="singleLevel"/>
    <w:tmpl w:val="C48B03A1"/>
    <w:lvl w:ilvl="0" w:tentative="0">
      <w:start w:val="1"/>
      <w:numFmt w:val="chineseCounting"/>
      <w:suff w:val="nothing"/>
      <w:lvlText w:val="（%1）"/>
      <w:lvlJc w:val="left"/>
      <w:rPr>
        <w:rFonts w:hint="eastAsia"/>
      </w:rPr>
    </w:lvl>
  </w:abstractNum>
  <w:abstractNum w:abstractNumId="1">
    <w:nsid w:val="C744CD34"/>
    <w:multiLevelType w:val="singleLevel"/>
    <w:tmpl w:val="C744CD34"/>
    <w:lvl w:ilvl="0" w:tentative="0">
      <w:start w:val="1"/>
      <w:numFmt w:val="decimal"/>
      <w:suff w:val="nothing"/>
      <w:lvlText w:val="（%1）"/>
      <w:lvlJc w:val="left"/>
    </w:lvl>
  </w:abstractNum>
  <w:abstractNum w:abstractNumId="2">
    <w:nsid w:val="DB233BB9"/>
    <w:multiLevelType w:val="singleLevel"/>
    <w:tmpl w:val="DB233BB9"/>
    <w:lvl w:ilvl="0" w:tentative="0">
      <w:start w:val="1"/>
      <w:numFmt w:val="chineseCounting"/>
      <w:suff w:val="nothing"/>
      <w:lvlText w:val="（%1）"/>
      <w:lvlJc w:val="left"/>
      <w:pPr>
        <w:ind w:left="0" w:firstLine="420"/>
      </w:pPr>
      <w:rPr>
        <w:rFonts w:hint="eastAsia"/>
      </w:rPr>
    </w:lvl>
  </w:abstractNum>
  <w:abstractNum w:abstractNumId="3">
    <w:nsid w:val="00000013"/>
    <w:multiLevelType w:val="multilevel"/>
    <w:tmpl w:val="00000013"/>
    <w:lvl w:ilvl="0" w:tentative="0">
      <w:start w:val="1"/>
      <w:numFmt w:val="chineseCountingThousand"/>
      <w:pStyle w:val="2"/>
      <w:suff w:val="space"/>
      <w:lvlText w:val="第%1章"/>
      <w:lvlJc w:val="left"/>
      <w:pPr>
        <w:ind w:left="170" w:hanging="170"/>
      </w:pPr>
      <w:rPr>
        <w:rFonts w:hint="eastAsia" w:ascii="宋体" w:hAnsi="宋体" w:eastAsia="宋体"/>
        <w:b/>
        <w:i w:val="0"/>
        <w:caps w:val="0"/>
        <w:strike w:val="0"/>
        <w:dstrike w:val="0"/>
        <w:vanish w:val="0"/>
        <w:color w:val="auto"/>
        <w:spacing w:val="0"/>
        <w:w w:val="100"/>
        <w:kern w:val="0"/>
        <w:position w:val="0"/>
        <w:sz w:val="28"/>
        <w:szCs w:val="28"/>
        <w:u w:val="none"/>
        <w:vertAlign w:val="baseline"/>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37516913"/>
    <w:multiLevelType w:val="multilevel"/>
    <w:tmpl w:val="37516913"/>
    <w:lvl w:ilvl="0" w:tentative="0">
      <w:start w:val="7"/>
      <w:numFmt w:val="japaneseCounting"/>
      <w:lvlText w:val="%1、"/>
      <w:lvlJc w:val="left"/>
      <w:pPr>
        <w:ind w:left="863" w:hanging="45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5">
    <w:nsid w:val="5ADD49B1"/>
    <w:multiLevelType w:val="singleLevel"/>
    <w:tmpl w:val="5ADD49B1"/>
    <w:lvl w:ilvl="0" w:tentative="0">
      <w:start w:val="1"/>
      <w:numFmt w:val="chineseCounting"/>
      <w:suff w:val="nothing"/>
      <w:lvlText w:val="%1、"/>
      <w:lvlJc w:val="left"/>
    </w:lvl>
  </w:abstractNum>
  <w:abstractNum w:abstractNumId="6">
    <w:nsid w:val="5B504C99"/>
    <w:multiLevelType w:val="singleLevel"/>
    <w:tmpl w:val="5B504C99"/>
    <w:lvl w:ilvl="0" w:tentative="0">
      <w:start w:val="1"/>
      <w:numFmt w:val="decimal"/>
      <w:suff w:val="nothing"/>
      <w:lvlText w:val="%1．"/>
      <w:lvlJc w:val="left"/>
      <w:pPr>
        <w:ind w:left="0" w:firstLine="400"/>
      </w:pPr>
      <w:rPr>
        <w:rFonts w:hint="default"/>
        <w:b/>
      </w:rPr>
    </w:lvl>
  </w:abstractNum>
  <w:abstractNum w:abstractNumId="7">
    <w:nsid w:val="5B505A23"/>
    <w:multiLevelType w:val="singleLevel"/>
    <w:tmpl w:val="5B505A23"/>
    <w:lvl w:ilvl="0" w:tentative="0">
      <w:start w:val="1"/>
      <w:numFmt w:val="decimal"/>
      <w:suff w:val="nothing"/>
      <w:lvlText w:val="%1．"/>
      <w:lvlJc w:val="left"/>
      <w:pPr>
        <w:ind w:left="0" w:firstLine="400"/>
      </w:pPr>
      <w:rPr>
        <w:rFonts w:hint="default"/>
      </w:rPr>
    </w:lvl>
  </w:abstractNum>
  <w:abstractNum w:abstractNumId="8">
    <w:nsid w:val="5B505D55"/>
    <w:multiLevelType w:val="singleLevel"/>
    <w:tmpl w:val="5B505D55"/>
    <w:lvl w:ilvl="0" w:tentative="0">
      <w:start w:val="1"/>
      <w:numFmt w:val="chineseCounting"/>
      <w:suff w:val="nothing"/>
      <w:lvlText w:val="%1、"/>
      <w:lvlJc w:val="left"/>
      <w:pPr>
        <w:ind w:left="0" w:firstLine="420"/>
      </w:pPr>
      <w:rPr>
        <w:rFonts w:hint="eastAsia"/>
      </w:rPr>
    </w:lvl>
  </w:abstractNum>
  <w:abstractNum w:abstractNumId="9">
    <w:nsid w:val="5B505DA0"/>
    <w:multiLevelType w:val="singleLevel"/>
    <w:tmpl w:val="5B505DA0"/>
    <w:lvl w:ilvl="0" w:tentative="0">
      <w:start w:val="2"/>
      <w:numFmt w:val="chineseCounting"/>
      <w:suff w:val="nothing"/>
      <w:lvlText w:val="%1、"/>
      <w:lvlJc w:val="left"/>
      <w:pPr>
        <w:ind w:left="0" w:firstLine="420"/>
      </w:pPr>
      <w:rPr>
        <w:rFonts w:hint="eastAsia"/>
      </w:rPr>
    </w:lvl>
  </w:abstractNum>
  <w:abstractNum w:abstractNumId="10">
    <w:nsid w:val="5B505E0E"/>
    <w:multiLevelType w:val="singleLevel"/>
    <w:tmpl w:val="5B505E0E"/>
    <w:lvl w:ilvl="0" w:tentative="0">
      <w:start w:val="1"/>
      <w:numFmt w:val="decimal"/>
      <w:suff w:val="nothing"/>
      <w:lvlText w:val="%1．"/>
      <w:lvlJc w:val="left"/>
      <w:pPr>
        <w:ind w:left="0" w:firstLine="400"/>
      </w:pPr>
      <w:rPr>
        <w:rFonts w:hint="default"/>
      </w:rPr>
    </w:lvl>
  </w:abstractNum>
  <w:abstractNum w:abstractNumId="11">
    <w:nsid w:val="5B505E2C"/>
    <w:multiLevelType w:val="singleLevel"/>
    <w:tmpl w:val="5B505E2C"/>
    <w:lvl w:ilvl="0" w:tentative="0">
      <w:start w:val="2"/>
      <w:numFmt w:val="decimal"/>
      <w:suff w:val="nothing"/>
      <w:lvlText w:val="%1．"/>
      <w:lvlJc w:val="left"/>
      <w:pPr>
        <w:ind w:left="0" w:firstLine="403"/>
      </w:pPr>
      <w:rPr>
        <w:rFonts w:hint="default"/>
      </w:rPr>
    </w:lvl>
  </w:abstractNum>
  <w:abstractNum w:abstractNumId="12">
    <w:nsid w:val="5B9F60CE"/>
    <w:multiLevelType w:val="singleLevel"/>
    <w:tmpl w:val="5B9F60CE"/>
    <w:lvl w:ilvl="0" w:tentative="0">
      <w:start w:val="1"/>
      <w:numFmt w:val="bullet"/>
      <w:lvlText w:val=""/>
      <w:lvlJc w:val="left"/>
      <w:pPr>
        <w:tabs>
          <w:tab w:val="left" w:pos="420"/>
        </w:tabs>
        <w:ind w:left="420" w:hanging="420"/>
      </w:pPr>
      <w:rPr>
        <w:rFonts w:hint="default" w:ascii="Wingdings" w:hAnsi="Wingdings"/>
      </w:rPr>
    </w:lvl>
  </w:abstractNum>
  <w:abstractNum w:abstractNumId="13">
    <w:nsid w:val="5B9F6270"/>
    <w:multiLevelType w:val="singleLevel"/>
    <w:tmpl w:val="5B9F6270"/>
    <w:lvl w:ilvl="0" w:tentative="0">
      <w:start w:val="1"/>
      <w:numFmt w:val="decimal"/>
      <w:lvlText w:val="%1)"/>
      <w:lvlJc w:val="left"/>
      <w:pPr>
        <w:tabs>
          <w:tab w:val="left" w:pos="425"/>
        </w:tabs>
        <w:ind w:left="425" w:hanging="425"/>
      </w:pPr>
      <w:rPr>
        <w:rFonts w:hint="default"/>
      </w:rPr>
    </w:lvl>
  </w:abstractNum>
  <w:abstractNum w:abstractNumId="14">
    <w:nsid w:val="5BA1BB92"/>
    <w:multiLevelType w:val="singleLevel"/>
    <w:tmpl w:val="5BA1BB92"/>
    <w:lvl w:ilvl="0" w:tentative="0">
      <w:start w:val="1"/>
      <w:numFmt w:val="decimal"/>
      <w:suff w:val="nothing"/>
      <w:lvlText w:val="%1."/>
      <w:lvlJc w:val="left"/>
      <w:pPr>
        <w:tabs>
          <w:tab w:val="left" w:pos="0"/>
        </w:tabs>
      </w:pPr>
      <w:rPr>
        <w:rFonts w:hint="default"/>
      </w:rPr>
    </w:lvl>
  </w:abstractNum>
  <w:abstractNum w:abstractNumId="15">
    <w:nsid w:val="5BA1BD96"/>
    <w:multiLevelType w:val="singleLevel"/>
    <w:tmpl w:val="5BA1BD96"/>
    <w:lvl w:ilvl="0" w:tentative="0">
      <w:start w:val="3"/>
      <w:numFmt w:val="chineseCounting"/>
      <w:suff w:val="nothing"/>
      <w:lvlText w:val="%1、"/>
      <w:lvlJc w:val="left"/>
      <w:pPr>
        <w:tabs>
          <w:tab w:val="left" w:pos="0"/>
        </w:tabs>
        <w:ind w:left="0" w:firstLine="420"/>
      </w:pPr>
      <w:rPr>
        <w:rFonts w:hint="eastAsia"/>
      </w:rPr>
    </w:lvl>
  </w:abstractNum>
  <w:abstractNum w:abstractNumId="16">
    <w:nsid w:val="5BFDE8D1"/>
    <w:multiLevelType w:val="singleLevel"/>
    <w:tmpl w:val="5BFDE8D1"/>
    <w:lvl w:ilvl="0" w:tentative="0">
      <w:start w:val="1"/>
      <w:numFmt w:val="chineseCounting"/>
      <w:suff w:val="nothing"/>
      <w:lvlText w:val="（%1）"/>
      <w:lvlJc w:val="left"/>
      <w:pPr>
        <w:ind w:left="0" w:firstLine="420"/>
      </w:pPr>
      <w:rPr>
        <w:rFonts w:hint="eastAsia"/>
      </w:rPr>
    </w:lvl>
  </w:abstractNum>
  <w:abstractNum w:abstractNumId="17">
    <w:nsid w:val="5BFDF01F"/>
    <w:multiLevelType w:val="singleLevel"/>
    <w:tmpl w:val="5BFDF01F"/>
    <w:lvl w:ilvl="0" w:tentative="0">
      <w:start w:val="1"/>
      <w:numFmt w:val="decimal"/>
      <w:lvlText w:val="%1)"/>
      <w:lvlJc w:val="left"/>
      <w:pPr>
        <w:ind w:left="425" w:hanging="425"/>
      </w:pPr>
      <w:rPr>
        <w:rFonts w:hint="default"/>
      </w:rPr>
    </w:lvl>
  </w:abstractNum>
  <w:abstractNum w:abstractNumId="18">
    <w:nsid w:val="5BFDF788"/>
    <w:multiLevelType w:val="singleLevel"/>
    <w:tmpl w:val="5BFDF788"/>
    <w:lvl w:ilvl="0" w:tentative="0">
      <w:start w:val="1"/>
      <w:numFmt w:val="chineseCounting"/>
      <w:suff w:val="nothing"/>
      <w:lvlText w:val="（%1）"/>
      <w:lvlJc w:val="left"/>
      <w:pPr>
        <w:ind w:left="0" w:firstLine="420"/>
      </w:pPr>
      <w:rPr>
        <w:rFonts w:hint="eastAsia"/>
      </w:rPr>
    </w:lvl>
  </w:abstractNum>
  <w:abstractNum w:abstractNumId="19">
    <w:nsid w:val="5BFDF815"/>
    <w:multiLevelType w:val="singleLevel"/>
    <w:tmpl w:val="5BFDF815"/>
    <w:lvl w:ilvl="0" w:tentative="0">
      <w:start w:val="1"/>
      <w:numFmt w:val="decimal"/>
      <w:lvlText w:val="%1)"/>
      <w:lvlJc w:val="left"/>
      <w:pPr>
        <w:ind w:left="425" w:hanging="425"/>
      </w:pPr>
      <w:rPr>
        <w:rFonts w:hint="default"/>
      </w:rPr>
    </w:lvl>
  </w:abstractNum>
  <w:abstractNum w:abstractNumId="20">
    <w:nsid w:val="5BFE0982"/>
    <w:multiLevelType w:val="singleLevel"/>
    <w:tmpl w:val="5BFE0982"/>
    <w:lvl w:ilvl="0" w:tentative="0">
      <w:start w:val="1"/>
      <w:numFmt w:val="decimal"/>
      <w:suff w:val="nothing"/>
      <w:lvlText w:val="%1．"/>
      <w:lvlJc w:val="left"/>
      <w:pPr>
        <w:ind w:left="0" w:firstLine="400"/>
      </w:pPr>
      <w:rPr>
        <w:rFonts w:hint="default"/>
      </w:rPr>
    </w:lvl>
  </w:abstractNum>
  <w:abstractNum w:abstractNumId="21">
    <w:nsid w:val="5D76141D"/>
    <w:multiLevelType w:val="singleLevel"/>
    <w:tmpl w:val="5D76141D"/>
    <w:lvl w:ilvl="0" w:tentative="0">
      <w:start w:val="1"/>
      <w:numFmt w:val="decimal"/>
      <w:suff w:val="nothing"/>
      <w:lvlText w:val="%1."/>
      <w:lvlJc w:val="left"/>
      <w:pPr>
        <w:tabs>
          <w:tab w:val="left" w:pos="0"/>
        </w:tabs>
      </w:pPr>
      <w:rPr>
        <w:rFonts w:hint="default"/>
      </w:rPr>
    </w:lvl>
  </w:abstractNum>
  <w:abstractNum w:abstractNumId="22">
    <w:nsid w:val="5D803C80"/>
    <w:multiLevelType w:val="singleLevel"/>
    <w:tmpl w:val="5D803C80"/>
    <w:lvl w:ilvl="0" w:tentative="0">
      <w:start w:val="1"/>
      <w:numFmt w:val="decimal"/>
      <w:suff w:val="nothing"/>
      <w:lvlText w:val="%1．"/>
      <w:lvlJc w:val="left"/>
      <w:pPr>
        <w:ind w:left="0" w:firstLine="400"/>
      </w:pPr>
      <w:rPr>
        <w:rFonts w:hint="default"/>
      </w:rPr>
    </w:lvl>
  </w:abstractNum>
  <w:num w:numId="1">
    <w:abstractNumId w:val="3"/>
  </w:num>
  <w:num w:numId="2">
    <w:abstractNumId w:val="8"/>
  </w:num>
  <w:num w:numId="3">
    <w:abstractNumId w:val="7"/>
  </w:num>
  <w:num w:numId="4">
    <w:abstractNumId w:val="9"/>
  </w:num>
  <w:num w:numId="5">
    <w:abstractNumId w:val="10"/>
  </w:num>
  <w:num w:numId="6">
    <w:abstractNumId w:val="11"/>
  </w:num>
  <w:num w:numId="7">
    <w:abstractNumId w:val="6"/>
  </w:num>
  <w:num w:numId="8">
    <w:abstractNumId w:val="4"/>
  </w:num>
  <w:num w:numId="9">
    <w:abstractNumId w:val="12"/>
  </w:num>
  <w:num w:numId="10">
    <w:abstractNumId w:val="13"/>
  </w:num>
  <w:num w:numId="11">
    <w:abstractNumId w:val="5"/>
  </w:num>
  <w:num w:numId="12">
    <w:abstractNumId w:val="14"/>
  </w:num>
  <w:num w:numId="13">
    <w:abstractNumId w:val="21"/>
  </w:num>
  <w:num w:numId="14">
    <w:abstractNumId w:val="15"/>
  </w:num>
  <w:num w:numId="15">
    <w:abstractNumId w:val="2"/>
  </w:num>
  <w:num w:numId="16">
    <w:abstractNumId w:val="0"/>
  </w:num>
  <w:num w:numId="17">
    <w:abstractNumId w:val="1"/>
  </w:num>
  <w:num w:numId="18">
    <w:abstractNumId w:val="16"/>
  </w:num>
  <w:num w:numId="19">
    <w:abstractNumId w:val="17"/>
  </w:num>
  <w:num w:numId="20">
    <w:abstractNumId w:val="18"/>
  </w:num>
  <w:num w:numId="21">
    <w:abstractNumId w:val="19"/>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YTZjZDYzNjM0OTI5MmZlY2NlMjI5MzM1ZDZiNDYifQ=="/>
  </w:docVars>
  <w:rsids>
    <w:rsidRoot w:val="037455E5"/>
    <w:rsid w:val="00000714"/>
    <w:rsid w:val="000101E6"/>
    <w:rsid w:val="000105C8"/>
    <w:rsid w:val="00056BB9"/>
    <w:rsid w:val="00062818"/>
    <w:rsid w:val="000735E5"/>
    <w:rsid w:val="000F22B6"/>
    <w:rsid w:val="00110668"/>
    <w:rsid w:val="001D2B21"/>
    <w:rsid w:val="00275076"/>
    <w:rsid w:val="00296E35"/>
    <w:rsid w:val="002B32C2"/>
    <w:rsid w:val="002D0D79"/>
    <w:rsid w:val="002F4D4B"/>
    <w:rsid w:val="003432CE"/>
    <w:rsid w:val="0035583E"/>
    <w:rsid w:val="00356D72"/>
    <w:rsid w:val="0036236C"/>
    <w:rsid w:val="0038729B"/>
    <w:rsid w:val="003928AA"/>
    <w:rsid w:val="0041704D"/>
    <w:rsid w:val="00523A0B"/>
    <w:rsid w:val="0054645B"/>
    <w:rsid w:val="0056023C"/>
    <w:rsid w:val="005E69AB"/>
    <w:rsid w:val="0063071E"/>
    <w:rsid w:val="0065168C"/>
    <w:rsid w:val="00651760"/>
    <w:rsid w:val="006E06D9"/>
    <w:rsid w:val="006E733B"/>
    <w:rsid w:val="00733C16"/>
    <w:rsid w:val="00754F4C"/>
    <w:rsid w:val="00841D01"/>
    <w:rsid w:val="008B5F2D"/>
    <w:rsid w:val="00931A75"/>
    <w:rsid w:val="009D04DD"/>
    <w:rsid w:val="00AA6F6E"/>
    <w:rsid w:val="00B4253D"/>
    <w:rsid w:val="00B6751D"/>
    <w:rsid w:val="00C01451"/>
    <w:rsid w:val="00C440B7"/>
    <w:rsid w:val="00C61C50"/>
    <w:rsid w:val="00CC61C1"/>
    <w:rsid w:val="00CF57F0"/>
    <w:rsid w:val="00D05649"/>
    <w:rsid w:val="00D23926"/>
    <w:rsid w:val="00D72CB0"/>
    <w:rsid w:val="00D96E69"/>
    <w:rsid w:val="00DF06FC"/>
    <w:rsid w:val="00E5237D"/>
    <w:rsid w:val="00E836BD"/>
    <w:rsid w:val="00F1129C"/>
    <w:rsid w:val="00F44777"/>
    <w:rsid w:val="00FD7B04"/>
    <w:rsid w:val="012E545C"/>
    <w:rsid w:val="014E6CDD"/>
    <w:rsid w:val="01567E15"/>
    <w:rsid w:val="015B709B"/>
    <w:rsid w:val="037455E5"/>
    <w:rsid w:val="03892B0A"/>
    <w:rsid w:val="04800D37"/>
    <w:rsid w:val="049A5E25"/>
    <w:rsid w:val="05BE074E"/>
    <w:rsid w:val="05D419E0"/>
    <w:rsid w:val="05E27F92"/>
    <w:rsid w:val="05FF16A9"/>
    <w:rsid w:val="06232584"/>
    <w:rsid w:val="07404977"/>
    <w:rsid w:val="08CA4C1F"/>
    <w:rsid w:val="0A1C09F6"/>
    <w:rsid w:val="0A591403"/>
    <w:rsid w:val="0A6E3EDD"/>
    <w:rsid w:val="0B2935AF"/>
    <w:rsid w:val="0B3A4165"/>
    <w:rsid w:val="0B620C9A"/>
    <w:rsid w:val="0BFC0178"/>
    <w:rsid w:val="0C4E6095"/>
    <w:rsid w:val="0DF8167A"/>
    <w:rsid w:val="0E0A10FB"/>
    <w:rsid w:val="0E103BEA"/>
    <w:rsid w:val="0EB7280D"/>
    <w:rsid w:val="0F976A08"/>
    <w:rsid w:val="0F9B2F7C"/>
    <w:rsid w:val="100E4A25"/>
    <w:rsid w:val="10DF2131"/>
    <w:rsid w:val="116A342A"/>
    <w:rsid w:val="11AA39BE"/>
    <w:rsid w:val="12536B62"/>
    <w:rsid w:val="136C3930"/>
    <w:rsid w:val="1392642E"/>
    <w:rsid w:val="13AA75D2"/>
    <w:rsid w:val="14061C8A"/>
    <w:rsid w:val="14BA44BE"/>
    <w:rsid w:val="154758C7"/>
    <w:rsid w:val="15BA1D23"/>
    <w:rsid w:val="15CD1DD8"/>
    <w:rsid w:val="16620F28"/>
    <w:rsid w:val="16B032AF"/>
    <w:rsid w:val="17406091"/>
    <w:rsid w:val="182D54D9"/>
    <w:rsid w:val="18B14735"/>
    <w:rsid w:val="190D0922"/>
    <w:rsid w:val="19565A7A"/>
    <w:rsid w:val="19BD00C4"/>
    <w:rsid w:val="19F759A9"/>
    <w:rsid w:val="1A8B5F38"/>
    <w:rsid w:val="1B192C43"/>
    <w:rsid w:val="1B846FD9"/>
    <w:rsid w:val="1C703DF9"/>
    <w:rsid w:val="1D3C4FC0"/>
    <w:rsid w:val="1D6F12A6"/>
    <w:rsid w:val="1D874B44"/>
    <w:rsid w:val="1F240902"/>
    <w:rsid w:val="1F3301DC"/>
    <w:rsid w:val="1F427B49"/>
    <w:rsid w:val="1FBE44E0"/>
    <w:rsid w:val="201A751C"/>
    <w:rsid w:val="202E1B63"/>
    <w:rsid w:val="203F0CA4"/>
    <w:rsid w:val="209A2DA6"/>
    <w:rsid w:val="21643369"/>
    <w:rsid w:val="21AA177D"/>
    <w:rsid w:val="227E33AC"/>
    <w:rsid w:val="22FA1EFA"/>
    <w:rsid w:val="232B1ADC"/>
    <w:rsid w:val="244A1EF8"/>
    <w:rsid w:val="24666BFE"/>
    <w:rsid w:val="24792109"/>
    <w:rsid w:val="25532EBD"/>
    <w:rsid w:val="25FE4E55"/>
    <w:rsid w:val="264211B9"/>
    <w:rsid w:val="26A67A6E"/>
    <w:rsid w:val="27F47887"/>
    <w:rsid w:val="29161B1D"/>
    <w:rsid w:val="2995455A"/>
    <w:rsid w:val="29BB3D8F"/>
    <w:rsid w:val="2A1F3214"/>
    <w:rsid w:val="2A63289B"/>
    <w:rsid w:val="2B065138"/>
    <w:rsid w:val="2DBE64AE"/>
    <w:rsid w:val="2E3B362A"/>
    <w:rsid w:val="2ECE1112"/>
    <w:rsid w:val="2EFA189A"/>
    <w:rsid w:val="2FC01970"/>
    <w:rsid w:val="301B60AE"/>
    <w:rsid w:val="302426F1"/>
    <w:rsid w:val="31144BDB"/>
    <w:rsid w:val="31B407D2"/>
    <w:rsid w:val="31D62BFD"/>
    <w:rsid w:val="322A2793"/>
    <w:rsid w:val="329B21DC"/>
    <w:rsid w:val="335A6DD9"/>
    <w:rsid w:val="35801677"/>
    <w:rsid w:val="35B0177D"/>
    <w:rsid w:val="36336FDA"/>
    <w:rsid w:val="36C926A9"/>
    <w:rsid w:val="37027E03"/>
    <w:rsid w:val="38620F92"/>
    <w:rsid w:val="386750EA"/>
    <w:rsid w:val="3A5D4108"/>
    <w:rsid w:val="3C2637D3"/>
    <w:rsid w:val="3C4D2CFF"/>
    <w:rsid w:val="3CAF00D3"/>
    <w:rsid w:val="3EBD1C48"/>
    <w:rsid w:val="3F7D1F7B"/>
    <w:rsid w:val="414064D4"/>
    <w:rsid w:val="41AC66BA"/>
    <w:rsid w:val="420A1CB6"/>
    <w:rsid w:val="423F5C1F"/>
    <w:rsid w:val="426563C9"/>
    <w:rsid w:val="42D227EB"/>
    <w:rsid w:val="440D3175"/>
    <w:rsid w:val="44AB379D"/>
    <w:rsid w:val="44F51C09"/>
    <w:rsid w:val="45721D94"/>
    <w:rsid w:val="467226F8"/>
    <w:rsid w:val="467A1EF7"/>
    <w:rsid w:val="46EB1281"/>
    <w:rsid w:val="46FF19AE"/>
    <w:rsid w:val="47DA23F2"/>
    <w:rsid w:val="48210E38"/>
    <w:rsid w:val="492224AA"/>
    <w:rsid w:val="4A2B71E1"/>
    <w:rsid w:val="4A8802C6"/>
    <w:rsid w:val="4BA75BA8"/>
    <w:rsid w:val="4BD02E05"/>
    <w:rsid w:val="4BF92C5B"/>
    <w:rsid w:val="4BFC1A6F"/>
    <w:rsid w:val="4C5C6D81"/>
    <w:rsid w:val="4C64086E"/>
    <w:rsid w:val="4CFA5B52"/>
    <w:rsid w:val="4D74509F"/>
    <w:rsid w:val="4DF83004"/>
    <w:rsid w:val="4F6C4039"/>
    <w:rsid w:val="4F6D39B7"/>
    <w:rsid w:val="5010454A"/>
    <w:rsid w:val="504E1629"/>
    <w:rsid w:val="51CC0910"/>
    <w:rsid w:val="520B6424"/>
    <w:rsid w:val="52C4756D"/>
    <w:rsid w:val="535808E2"/>
    <w:rsid w:val="53970B15"/>
    <w:rsid w:val="53E1554E"/>
    <w:rsid w:val="55F32458"/>
    <w:rsid w:val="56E368A5"/>
    <w:rsid w:val="57D83975"/>
    <w:rsid w:val="580D0C73"/>
    <w:rsid w:val="58E75073"/>
    <w:rsid w:val="59705D22"/>
    <w:rsid w:val="5A1D382F"/>
    <w:rsid w:val="5A214A7F"/>
    <w:rsid w:val="5AF7788C"/>
    <w:rsid w:val="5B654621"/>
    <w:rsid w:val="5C2C4B66"/>
    <w:rsid w:val="5C2D2217"/>
    <w:rsid w:val="5C361180"/>
    <w:rsid w:val="5D705F83"/>
    <w:rsid w:val="5D9C07E6"/>
    <w:rsid w:val="5DEC5CA7"/>
    <w:rsid w:val="5E047BE7"/>
    <w:rsid w:val="5E285B4B"/>
    <w:rsid w:val="5E3804AE"/>
    <w:rsid w:val="5E40161E"/>
    <w:rsid w:val="5EDF5367"/>
    <w:rsid w:val="5F9908CF"/>
    <w:rsid w:val="60581535"/>
    <w:rsid w:val="615563AF"/>
    <w:rsid w:val="61737F86"/>
    <w:rsid w:val="62351F1E"/>
    <w:rsid w:val="635478CD"/>
    <w:rsid w:val="63840C3D"/>
    <w:rsid w:val="64813050"/>
    <w:rsid w:val="64D168B0"/>
    <w:rsid w:val="64E16B19"/>
    <w:rsid w:val="651214A7"/>
    <w:rsid w:val="66FE6CB9"/>
    <w:rsid w:val="674918F3"/>
    <w:rsid w:val="690527B5"/>
    <w:rsid w:val="69411826"/>
    <w:rsid w:val="696D5790"/>
    <w:rsid w:val="69857D0B"/>
    <w:rsid w:val="699023AA"/>
    <w:rsid w:val="6A1E76D7"/>
    <w:rsid w:val="6A755EC0"/>
    <w:rsid w:val="6AB02383"/>
    <w:rsid w:val="6B1015E4"/>
    <w:rsid w:val="6B73610B"/>
    <w:rsid w:val="6B973141"/>
    <w:rsid w:val="6C3F6F43"/>
    <w:rsid w:val="6D46072E"/>
    <w:rsid w:val="6D890BFB"/>
    <w:rsid w:val="6ECE57B7"/>
    <w:rsid w:val="6EDC2217"/>
    <w:rsid w:val="6F827764"/>
    <w:rsid w:val="6FA6613B"/>
    <w:rsid w:val="71150824"/>
    <w:rsid w:val="72144F40"/>
    <w:rsid w:val="7225138B"/>
    <w:rsid w:val="72396A93"/>
    <w:rsid w:val="72590264"/>
    <w:rsid w:val="739B2899"/>
    <w:rsid w:val="73CD2BA5"/>
    <w:rsid w:val="74E44A88"/>
    <w:rsid w:val="774E539E"/>
    <w:rsid w:val="77660222"/>
    <w:rsid w:val="77BD7EA4"/>
    <w:rsid w:val="77C41144"/>
    <w:rsid w:val="77E45FA0"/>
    <w:rsid w:val="78797DB0"/>
    <w:rsid w:val="78E55BAE"/>
    <w:rsid w:val="79017D9E"/>
    <w:rsid w:val="79812560"/>
    <w:rsid w:val="7A0F170C"/>
    <w:rsid w:val="7A3C6704"/>
    <w:rsid w:val="7ABF67A7"/>
    <w:rsid w:val="7B166DD9"/>
    <w:rsid w:val="7B696E0B"/>
    <w:rsid w:val="7B9C3639"/>
    <w:rsid w:val="7BAD00D1"/>
    <w:rsid w:val="7BE652CC"/>
    <w:rsid w:val="7C033C53"/>
    <w:rsid w:val="7C7D69A6"/>
    <w:rsid w:val="7D485138"/>
    <w:rsid w:val="7D705EE1"/>
    <w:rsid w:val="7D7C35DF"/>
    <w:rsid w:val="7E1709C6"/>
    <w:rsid w:val="7F377680"/>
    <w:rsid w:val="7F4617EF"/>
    <w:rsid w:val="7F8A24C7"/>
    <w:rsid w:val="7FD11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 w:semiHidden="0" w:name="heading 2"/>
    <w:lsdException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widowControl/>
      <w:numPr>
        <w:ilvl w:val="0"/>
        <w:numId w:val="1"/>
      </w:numPr>
      <w:spacing w:after="240" w:line="240" w:lineRule="atLeast"/>
      <w:jc w:val="left"/>
      <w:outlineLvl w:val="0"/>
    </w:pPr>
    <w:rPr>
      <w:rFonts w:ascii="Arial" w:hAnsi="Arial" w:eastAsia="宋体" w:cs="Times New Roman"/>
      <w:b/>
      <w:spacing w:val="-5"/>
      <w:kern w:val="0"/>
      <w:sz w:val="40"/>
      <w:szCs w:val="20"/>
      <w:lang w:eastAsia="en-US"/>
    </w:rPr>
  </w:style>
  <w:style w:type="paragraph" w:styleId="3">
    <w:name w:val="heading 2"/>
    <w:next w:val="1"/>
    <w:unhideWhenUsed/>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next w:val="1"/>
    <w:unhideWhenUsed/>
    <w:uiPriority w:val="9"/>
    <w:pPr>
      <w:keepNext/>
      <w:keepLines/>
      <w:spacing w:before="200" w:after="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next w:val="1"/>
    <w:unhideWhenUsed/>
    <w:qFormat/>
    <w:uiPriority w:val="9"/>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6">
    <w:name w:val="heading 5"/>
    <w:next w:val="1"/>
    <w:unhideWhenUsed/>
    <w:qFormat/>
    <w:uiPriority w:val="9"/>
    <w:pPr>
      <w:keepNext/>
      <w:keepLines/>
      <w:spacing w:before="200" w:after="0"/>
      <w:outlineLvl w:val="4"/>
    </w:pPr>
    <w:rPr>
      <w:rFonts w:asciiTheme="majorHAnsi" w:hAnsiTheme="majorHAnsi" w:eastAsiaTheme="majorEastAsia" w:cstheme="majorBidi"/>
      <w:color w:val="1F4E79" w:themeColor="accent1" w:themeShade="80"/>
    </w:rPr>
  </w:style>
  <w:style w:type="paragraph" w:styleId="7">
    <w:name w:val="heading 6"/>
    <w:next w:val="1"/>
    <w:unhideWhenUsed/>
    <w:qFormat/>
    <w:uiPriority w:val="9"/>
    <w:pPr>
      <w:keepNext/>
      <w:keepLines/>
      <w:spacing w:before="200" w:after="0"/>
      <w:outlineLvl w:val="5"/>
    </w:pPr>
    <w:rPr>
      <w:rFonts w:asciiTheme="majorHAnsi" w:hAnsiTheme="majorHAnsi" w:eastAsiaTheme="majorEastAsia" w:cstheme="majorBidi"/>
      <w:i/>
      <w:iCs/>
      <w:color w:val="1F4E79" w:themeColor="accent1" w:themeShade="8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20"/>
    <w:qFormat/>
    <w:uiPriority w:val="0"/>
    <w:pPr>
      <w:jc w:val="left"/>
    </w:p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12">
    <w:name w:val="annotation subject"/>
    <w:basedOn w:val="8"/>
    <w:next w:val="8"/>
    <w:link w:val="21"/>
    <w:qFormat/>
    <w:uiPriority w:val="0"/>
    <w:rPr>
      <w:b/>
      <w:bCs/>
    </w:rPr>
  </w:style>
  <w:style w:type="character" w:styleId="15">
    <w:name w:val="Hyperlink"/>
    <w:unhideWhenUsed/>
    <w:qFormat/>
    <w:uiPriority w:val="99"/>
    <w:rPr>
      <w:color w:val="0563C1" w:themeColor="hyperlink"/>
      <w:u w:val="single"/>
      <w14:textFill>
        <w14:solidFill>
          <w14:schemeClr w14:val="hlink"/>
        </w14:solidFill>
      </w14:textFill>
    </w:rPr>
  </w:style>
  <w:style w:type="character" w:styleId="16">
    <w:name w:val="annotation reference"/>
    <w:basedOn w:val="14"/>
    <w:qFormat/>
    <w:uiPriority w:val="0"/>
    <w:rPr>
      <w:sz w:val="21"/>
      <w:szCs w:val="21"/>
    </w:rPr>
  </w:style>
  <w:style w:type="paragraph" w:customStyle="1" w:styleId="17">
    <w:name w:val="列表段落1"/>
    <w:basedOn w:val="1"/>
    <w:qFormat/>
    <w:uiPriority w:val="0"/>
    <w:pPr>
      <w:ind w:firstLine="420" w:firstLineChars="200"/>
    </w:pPr>
  </w:style>
  <w:style w:type="paragraph" w:customStyle="1" w:styleId="18">
    <w:name w:val="Default"/>
    <w:qFormat/>
    <w:uiPriority w:val="0"/>
    <w:pPr>
      <w:widowControl w:val="0"/>
      <w:autoSpaceDE w:val="0"/>
      <w:autoSpaceDN w:val="0"/>
      <w:adjustRightInd w:val="0"/>
    </w:pPr>
    <w:rPr>
      <w:rFonts w:ascii="...." w:eastAsia="...." w:hAnsiTheme="minorHAnsi" w:cstheme="minorBidi"/>
      <w:color w:val="000000"/>
      <w:sz w:val="24"/>
      <w:szCs w:val="24"/>
      <w:lang w:val="en-US" w:eastAsia="zh-CN" w:bidi="ar-SA"/>
    </w:rPr>
  </w:style>
  <w:style w:type="paragraph" w:customStyle="1" w:styleId="19">
    <w:name w:val="列出段落1"/>
    <w:basedOn w:val="1"/>
    <w:qFormat/>
    <w:uiPriority w:val="0"/>
    <w:pPr>
      <w:ind w:firstLine="420" w:firstLineChars="200"/>
    </w:pPr>
  </w:style>
  <w:style w:type="character" w:customStyle="1" w:styleId="20">
    <w:name w:val="批注文字 字符"/>
    <w:basedOn w:val="14"/>
    <w:link w:val="8"/>
    <w:qFormat/>
    <w:uiPriority w:val="0"/>
    <w:rPr>
      <w:rFonts w:asciiTheme="minorHAnsi" w:hAnsiTheme="minorHAnsi" w:eastAsiaTheme="minorEastAsia" w:cstheme="minorBidi"/>
      <w:kern w:val="2"/>
      <w:sz w:val="21"/>
      <w:szCs w:val="22"/>
    </w:rPr>
  </w:style>
  <w:style w:type="character" w:customStyle="1" w:styleId="21">
    <w:name w:val="批注主题 字符"/>
    <w:basedOn w:val="20"/>
    <w:link w:val="12"/>
    <w:qFormat/>
    <w:uiPriority w:val="0"/>
    <w:rPr>
      <w:rFonts w:asciiTheme="minorHAnsi" w:hAnsiTheme="minorHAnsi" w:eastAsiaTheme="minorEastAsia" w:cstheme="minorBidi"/>
      <w:b/>
      <w:bCs/>
      <w:kern w:val="2"/>
      <w:sz w:val="21"/>
      <w:szCs w:val="22"/>
    </w:rPr>
  </w:style>
  <w:style w:type="character" w:customStyle="1" w:styleId="22">
    <w:name w:val="页眉 字符"/>
    <w:basedOn w:val="14"/>
    <w:link w:val="10"/>
    <w:qFormat/>
    <w:uiPriority w:val="0"/>
    <w:rPr>
      <w:rFonts w:asciiTheme="minorHAnsi" w:hAnsiTheme="minorHAnsi" w:eastAsiaTheme="minorEastAsia" w:cstheme="minorBidi"/>
      <w:kern w:val="2"/>
      <w:sz w:val="18"/>
      <w:szCs w:val="18"/>
    </w:rPr>
  </w:style>
  <w:style w:type="character" w:customStyle="1" w:styleId="23">
    <w:name w:val="页脚 字符"/>
    <w:basedOn w:val="14"/>
    <w:link w:val="9"/>
    <w:qFormat/>
    <w:uiPriority w:val="0"/>
    <w:rPr>
      <w:rFonts w:asciiTheme="minorHAnsi" w:hAnsiTheme="minorHAnsi" w:eastAsiaTheme="minorEastAsia" w:cstheme="minorBidi"/>
      <w:kern w:val="2"/>
      <w:sz w:val="18"/>
      <w:szCs w:val="18"/>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1F8EF-7263-4DD7-8494-2F90DEFBDF5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12125</Words>
  <Characters>13296</Characters>
  <Lines>27</Lines>
  <Paragraphs>30</Paragraphs>
  <TotalTime>1</TotalTime>
  <ScaleCrop>false</ScaleCrop>
  <LinksUpToDate>false</LinksUpToDate>
  <CharactersWithSpaces>13866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2019-11-15T05:56:00Z</dcterms:created>
  <dc:creator>王书明</dc:creator>
  <cp:lastModifiedBy>孟刚</cp:lastModifiedBy>
  <dcterms:modified xsi:type="dcterms:W3CDTF">2025-09-09T09:49:32Z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50F2D3518EE34979A3856F4ABE4DD9DE</vt:lpwstr>
  </property>
</Properties>
</file>