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C6CFE">
      <w:pPr>
        <w:tabs>
          <w:tab w:val="left" w:pos="915"/>
          <w:tab w:val="center" w:pos="5273"/>
        </w:tabs>
        <w:spacing w:before="50"/>
        <w:jc w:val="center"/>
        <w:rPr>
          <w:rFonts w:ascii="楷体" w:hAnsi="楷体" w:eastAsia="楷体"/>
          <w:b/>
          <w:sz w:val="32"/>
          <w:szCs w:val="32"/>
          <w:highlight w:val="none"/>
        </w:rPr>
      </w:pPr>
      <w:r>
        <w:rPr>
          <w:rFonts w:hint="eastAsia" w:ascii="楷体" w:hAnsi="楷体" w:eastAsia="楷体"/>
          <w:b/>
          <w:sz w:val="32"/>
          <w:szCs w:val="32"/>
          <w:highlight w:val="none"/>
        </w:rPr>
        <w:t>理财非存款、产品有风险、投资须谨慎！</w:t>
      </w:r>
    </w:p>
    <w:p w14:paraId="0289F770">
      <w:pPr>
        <w:tabs>
          <w:tab w:val="left" w:pos="915"/>
          <w:tab w:val="center" w:pos="5273"/>
        </w:tabs>
        <w:spacing w:before="50"/>
        <w:jc w:val="center"/>
        <w:rPr>
          <w:rFonts w:ascii="黑体" w:eastAsia="黑体"/>
          <w:bCs/>
          <w:color w:val="000000"/>
          <w:sz w:val="30"/>
          <w:szCs w:val="30"/>
          <w:highlight w:val="none"/>
        </w:rPr>
      </w:pPr>
    </w:p>
    <w:p w14:paraId="78F8F2E3">
      <w:pPr>
        <w:tabs>
          <w:tab w:val="left" w:pos="915"/>
          <w:tab w:val="center" w:pos="5273"/>
        </w:tabs>
        <w:spacing w:before="50"/>
        <w:jc w:val="center"/>
        <w:rPr>
          <w:rFonts w:ascii="黑体" w:eastAsia="黑体"/>
          <w:bCs/>
          <w:color w:val="000000"/>
          <w:sz w:val="30"/>
          <w:szCs w:val="30"/>
          <w:highlight w:val="none"/>
        </w:rPr>
      </w:pPr>
    </w:p>
    <w:p w14:paraId="50A2347E">
      <w:pPr>
        <w:tabs>
          <w:tab w:val="left" w:pos="915"/>
          <w:tab w:val="center" w:pos="5273"/>
        </w:tabs>
        <w:spacing w:before="50"/>
        <w:jc w:val="center"/>
        <w:rPr>
          <w:rFonts w:ascii="黑体" w:eastAsia="黑体"/>
          <w:bCs/>
          <w:color w:val="000000"/>
          <w:sz w:val="30"/>
          <w:szCs w:val="30"/>
          <w:highlight w:val="none"/>
        </w:rPr>
      </w:pPr>
    </w:p>
    <w:p w14:paraId="5F330744">
      <w:pPr>
        <w:tabs>
          <w:tab w:val="left" w:pos="915"/>
          <w:tab w:val="center" w:pos="5273"/>
        </w:tabs>
        <w:spacing w:before="50"/>
        <w:jc w:val="center"/>
        <w:rPr>
          <w:rFonts w:ascii="黑体" w:eastAsia="黑体"/>
          <w:bCs/>
          <w:color w:val="000000"/>
          <w:sz w:val="30"/>
          <w:szCs w:val="30"/>
          <w:highlight w:val="none"/>
        </w:rPr>
      </w:pPr>
    </w:p>
    <w:p w14:paraId="663B510B">
      <w:pPr>
        <w:tabs>
          <w:tab w:val="left" w:pos="915"/>
          <w:tab w:val="center" w:pos="5273"/>
        </w:tabs>
        <w:spacing w:before="50"/>
        <w:jc w:val="center"/>
        <w:rPr>
          <w:rFonts w:ascii="黑体" w:eastAsia="黑体"/>
          <w:bCs/>
          <w:color w:val="000000"/>
          <w:sz w:val="30"/>
          <w:szCs w:val="30"/>
          <w:highlight w:val="none"/>
        </w:rPr>
      </w:pPr>
    </w:p>
    <w:p w14:paraId="4EBC6806">
      <w:pPr>
        <w:tabs>
          <w:tab w:val="left" w:pos="915"/>
          <w:tab w:val="center" w:pos="5273"/>
        </w:tabs>
        <w:spacing w:before="50"/>
        <w:jc w:val="center"/>
        <w:rPr>
          <w:rFonts w:ascii="楷体" w:hAnsi="楷体" w:eastAsia="楷体"/>
          <w:bCs/>
          <w:color w:val="000000"/>
          <w:sz w:val="48"/>
          <w:szCs w:val="48"/>
          <w:highlight w:val="none"/>
        </w:rPr>
      </w:pPr>
    </w:p>
    <w:p w14:paraId="3043F89B">
      <w:pPr>
        <w:tabs>
          <w:tab w:val="left" w:pos="915"/>
          <w:tab w:val="center" w:pos="5273"/>
        </w:tabs>
        <w:spacing w:before="50" w:line="600" w:lineRule="auto"/>
        <w:jc w:val="center"/>
        <w:rPr>
          <w:rFonts w:ascii="华文楷体" w:hAnsi="华文楷体" w:eastAsia="华文楷体"/>
          <w:b/>
          <w:bCs/>
          <w:color w:val="000000"/>
          <w:spacing w:val="-28"/>
          <w:sz w:val="52"/>
          <w:szCs w:val="52"/>
          <w:highlight w:val="none"/>
        </w:rPr>
      </w:pPr>
      <w:r>
        <w:rPr>
          <w:rFonts w:hint="eastAsia" w:ascii="华文楷体" w:hAnsi="华文楷体" w:eastAsia="华文楷体"/>
          <w:b/>
          <w:bCs/>
          <w:color w:val="000000"/>
          <w:spacing w:val="-28"/>
          <w:sz w:val="52"/>
          <w:szCs w:val="52"/>
          <w:highlight w:val="none"/>
          <w:lang w:eastAsia="zh-CN"/>
        </w:rPr>
        <w:t>北银理财京华远见春系列卓远固收封闭式290号</w:t>
      </w:r>
      <w:r>
        <w:rPr>
          <w:rFonts w:hint="eastAsia" w:ascii="华文楷体" w:hAnsi="华文楷体" w:eastAsia="华文楷体"/>
          <w:b/>
          <w:bCs/>
          <w:color w:val="000000"/>
          <w:spacing w:val="-28"/>
          <w:sz w:val="52"/>
          <w:szCs w:val="52"/>
          <w:highlight w:val="none"/>
        </w:rPr>
        <w:t>理财产品</w:t>
      </w:r>
    </w:p>
    <w:p w14:paraId="70E19542">
      <w:pPr>
        <w:tabs>
          <w:tab w:val="left" w:pos="915"/>
          <w:tab w:val="center" w:pos="5273"/>
        </w:tabs>
        <w:spacing w:before="50"/>
        <w:jc w:val="center"/>
        <w:rPr>
          <w:rFonts w:ascii="楷体" w:hAnsi="楷体" w:eastAsia="楷体"/>
          <w:bCs/>
          <w:color w:val="000000"/>
          <w:sz w:val="48"/>
          <w:szCs w:val="48"/>
          <w:highlight w:val="none"/>
        </w:rPr>
      </w:pPr>
    </w:p>
    <w:p w14:paraId="0253A769">
      <w:pPr>
        <w:tabs>
          <w:tab w:val="left" w:pos="915"/>
          <w:tab w:val="center" w:pos="5273"/>
        </w:tabs>
        <w:spacing w:before="50"/>
        <w:jc w:val="center"/>
        <w:rPr>
          <w:rFonts w:ascii="黑体" w:eastAsia="黑体"/>
          <w:bCs/>
          <w:color w:val="000000"/>
          <w:sz w:val="30"/>
          <w:szCs w:val="30"/>
          <w:highlight w:val="none"/>
        </w:rPr>
      </w:pPr>
    </w:p>
    <w:p w14:paraId="2D2246DC">
      <w:pPr>
        <w:tabs>
          <w:tab w:val="left" w:pos="915"/>
          <w:tab w:val="center" w:pos="5273"/>
        </w:tabs>
        <w:spacing w:before="50"/>
        <w:jc w:val="both"/>
        <w:rPr>
          <w:rFonts w:ascii="黑体" w:eastAsia="黑体"/>
          <w:bCs/>
          <w:color w:val="000000"/>
          <w:sz w:val="30"/>
          <w:szCs w:val="30"/>
          <w:highlight w:val="none"/>
        </w:rPr>
      </w:pPr>
    </w:p>
    <w:p w14:paraId="12C2932D">
      <w:pPr>
        <w:pStyle w:val="2"/>
        <w:rPr>
          <w:rFonts w:ascii="黑体" w:eastAsia="黑体"/>
          <w:bCs/>
          <w:color w:val="000000"/>
          <w:sz w:val="30"/>
          <w:szCs w:val="30"/>
          <w:highlight w:val="none"/>
        </w:rPr>
      </w:pPr>
    </w:p>
    <w:p w14:paraId="5B81E15D">
      <w:pPr>
        <w:pStyle w:val="5"/>
        <w:rPr>
          <w:rFonts w:ascii="黑体" w:eastAsia="黑体"/>
          <w:bCs/>
          <w:color w:val="000000"/>
          <w:sz w:val="30"/>
          <w:szCs w:val="30"/>
          <w:highlight w:val="none"/>
        </w:rPr>
      </w:pPr>
    </w:p>
    <w:p w14:paraId="2A691142">
      <w:pPr>
        <w:pStyle w:val="5"/>
        <w:rPr>
          <w:rFonts w:ascii="黑体" w:eastAsia="黑体"/>
          <w:bCs/>
          <w:color w:val="000000"/>
          <w:sz w:val="30"/>
          <w:szCs w:val="30"/>
          <w:highlight w:val="none"/>
        </w:rPr>
      </w:pPr>
    </w:p>
    <w:p w14:paraId="3FC623CC">
      <w:pPr>
        <w:tabs>
          <w:tab w:val="left" w:pos="915"/>
          <w:tab w:val="center" w:pos="5273"/>
        </w:tabs>
        <w:spacing w:before="50"/>
        <w:jc w:val="both"/>
        <w:rPr>
          <w:rFonts w:ascii="黑体" w:eastAsia="黑体"/>
          <w:bCs/>
          <w:color w:val="000000"/>
          <w:sz w:val="30"/>
          <w:szCs w:val="30"/>
          <w:highlight w:val="none"/>
        </w:rPr>
      </w:pPr>
    </w:p>
    <w:p w14:paraId="1A78D699">
      <w:pPr>
        <w:tabs>
          <w:tab w:val="left" w:pos="915"/>
          <w:tab w:val="center" w:pos="5273"/>
        </w:tabs>
        <w:spacing w:before="50"/>
        <w:jc w:val="center"/>
        <w:rPr>
          <w:rFonts w:ascii="黑体" w:eastAsia="黑体"/>
          <w:b/>
          <w:bCs/>
          <w:color w:val="000000"/>
          <w:sz w:val="30"/>
          <w:szCs w:val="30"/>
          <w:highlight w:val="none"/>
        </w:rPr>
      </w:pPr>
      <w:r>
        <w:rPr>
          <w:rFonts w:ascii="黑体" w:eastAsia="黑体"/>
          <w:bCs/>
          <w:color w:val="000000"/>
          <w:sz w:val="30"/>
          <w:szCs w:val="30"/>
          <w:highlight w:val="none"/>
        </w:rPr>
        <w:drawing>
          <wp:inline distT="0" distB="0" distL="114300" distR="114300">
            <wp:extent cx="5274310" cy="1313180"/>
            <wp:effectExtent l="0" t="0" r="2540" b="1270"/>
            <wp:docPr id="3" name="图片 1" descr="C:\Users\zy\Desktop\北银理财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zy\Desktop\北银理财logo.jpg"/>
                    <pic:cNvPicPr>
                      <a:picLocks noChangeAspect="1" noChangeArrowheads="1"/>
                    </pic:cNvPicPr>
                  </pic:nvPicPr>
                  <pic:blipFill>
                    <a:blip r:embed="rId7" cstate="print"/>
                    <a:srcRect/>
                    <a:stretch>
                      <a:fillRect/>
                    </a:stretch>
                  </pic:blipFill>
                  <pic:spPr>
                    <a:xfrm>
                      <a:off x="0" y="0"/>
                      <a:ext cx="5274310" cy="1313572"/>
                    </a:xfrm>
                    <a:prstGeom prst="rect">
                      <a:avLst/>
                    </a:prstGeom>
                    <a:noFill/>
                    <a:ln w="9525">
                      <a:noFill/>
                      <a:miter lim="800000"/>
                      <a:headEnd/>
                      <a:tailEnd/>
                    </a:ln>
                    <a:effectLst/>
                  </pic:spPr>
                </pic:pic>
              </a:graphicData>
            </a:graphic>
          </wp:inline>
        </w:drawing>
      </w:r>
      <w:r>
        <w:rPr>
          <w:rFonts w:hint="eastAsia" w:ascii="黑体" w:hAnsi="Times New Roman" w:eastAsia="黑体" w:cs="Times New Roman"/>
          <w:b/>
          <w:bCs/>
          <w:color w:val="000000"/>
          <w:sz w:val="30"/>
          <w:szCs w:val="30"/>
          <w:highlight w:val="none"/>
          <w:lang w:eastAsia="zh-CN"/>
        </w:rPr>
        <w:t>北银理财京华远见春系列卓远固收封闭式290号</w:t>
      </w:r>
      <w:r>
        <w:rPr>
          <w:rFonts w:hint="eastAsia" w:ascii="黑体" w:eastAsia="黑体"/>
          <w:b/>
          <w:bCs/>
          <w:color w:val="000000"/>
          <w:sz w:val="30"/>
          <w:szCs w:val="30"/>
          <w:highlight w:val="none"/>
        </w:rPr>
        <w:t>理财产品</w:t>
      </w:r>
    </w:p>
    <w:p w14:paraId="0F22EBEC">
      <w:pPr>
        <w:spacing w:after="240"/>
        <w:jc w:val="center"/>
        <w:rPr>
          <w:rFonts w:ascii="黑体" w:hAnsi="楷体" w:eastAsia="黑体"/>
          <w:b/>
          <w:sz w:val="30"/>
          <w:szCs w:val="30"/>
          <w:highlight w:val="none"/>
        </w:rPr>
      </w:pPr>
      <w:r>
        <w:rPr>
          <w:rFonts w:hint="eastAsia" w:ascii="黑体" w:hAnsi="楷体" w:eastAsia="黑体"/>
          <w:b/>
          <w:sz w:val="30"/>
          <w:szCs w:val="30"/>
          <w:highlight w:val="none"/>
        </w:rPr>
        <w:t>风险揭示书</w:t>
      </w:r>
    </w:p>
    <w:p w14:paraId="512F79CC">
      <w:pPr>
        <w:rPr>
          <w:rFonts w:ascii="楷体_GB2312" w:hAnsi="楷体" w:eastAsia="楷体_GB2312"/>
          <w:b/>
          <w:sz w:val="24"/>
          <w:highlight w:val="none"/>
        </w:rPr>
      </w:pPr>
      <w:r>
        <w:rPr>
          <w:rFonts w:hint="eastAsia" w:ascii="楷体_GB2312" w:hAnsi="楷体" w:eastAsia="楷体_GB2312"/>
          <w:b/>
          <w:sz w:val="24"/>
          <w:highlight w:val="none"/>
        </w:rPr>
        <w:t>尊敬的投资者：</w:t>
      </w:r>
    </w:p>
    <w:p w14:paraId="45DB8A5A">
      <w:pPr>
        <w:ind w:firstLine="480" w:firstLineChars="200"/>
        <w:rPr>
          <w:rFonts w:ascii="楷体_GB2312" w:hAnsi="楷体" w:eastAsia="楷体_GB2312" w:cs="Times New Roman"/>
          <w:b/>
          <w:bCs/>
          <w:color w:val="auto"/>
          <w:sz w:val="24"/>
          <w:highlight w:val="none"/>
        </w:rPr>
      </w:pPr>
      <w:r>
        <w:rPr>
          <w:rFonts w:ascii="楷体_GB2312" w:hAnsi="楷体" w:eastAsia="楷体_GB2312"/>
          <w:sz w:val="24"/>
          <w:highlight w:val="none"/>
        </w:rPr>
        <w:t>理财资金管理运用可能面临多种风险因素，根据</w:t>
      </w:r>
      <w:r>
        <w:rPr>
          <w:rFonts w:hint="eastAsia" w:ascii="楷体_GB2312" w:hAnsi="楷体" w:eastAsia="楷体_GB2312"/>
          <w:sz w:val="24"/>
          <w:highlight w:val="none"/>
        </w:rPr>
        <w:t>国家金融监督管理总局</w:t>
      </w:r>
      <w:r>
        <w:rPr>
          <w:rFonts w:ascii="楷体_GB2312" w:hAnsi="楷体" w:eastAsia="楷体_GB2312"/>
          <w:sz w:val="24"/>
          <w:highlight w:val="none"/>
        </w:rPr>
        <w:t>相关监管规定的要求，</w:t>
      </w:r>
      <w:r>
        <w:rPr>
          <w:rFonts w:hint="eastAsia" w:ascii="楷体_GB2312" w:hAnsi="楷体" w:eastAsia="楷体_GB2312"/>
          <w:b/>
          <w:bCs/>
          <w:sz w:val="24"/>
          <w:highlight w:val="none"/>
        </w:rPr>
        <w:t>北</w:t>
      </w:r>
      <w:r>
        <w:rPr>
          <w:rFonts w:ascii="楷体_GB2312" w:hAnsi="楷体" w:eastAsia="楷体_GB2312"/>
          <w:b/>
          <w:bCs/>
          <w:sz w:val="24"/>
          <w:highlight w:val="none"/>
        </w:rPr>
        <w:t>银理</w:t>
      </w:r>
      <w:r>
        <w:rPr>
          <w:rFonts w:hint="eastAsia" w:ascii="楷体_GB2312" w:hAnsi="楷体" w:eastAsia="楷体_GB2312"/>
          <w:b/>
          <w:bCs/>
          <w:sz w:val="24"/>
          <w:highlight w:val="none"/>
        </w:rPr>
        <w:t>财有限责任公司（以下简称“北银理财”或“</w:t>
      </w:r>
      <w:r>
        <w:rPr>
          <w:rFonts w:hint="eastAsia" w:ascii="楷体_GB2312" w:hAnsi="楷体" w:eastAsia="楷体_GB2312"/>
          <w:b/>
          <w:bCs/>
          <w:sz w:val="24"/>
          <w:highlight w:val="none"/>
          <w:lang w:eastAsia="zh-CN"/>
        </w:rPr>
        <w:t>产品管理人</w:t>
      </w:r>
      <w:r>
        <w:rPr>
          <w:rFonts w:hint="eastAsia" w:ascii="楷体_GB2312" w:hAnsi="楷体" w:eastAsia="楷体_GB2312"/>
          <w:b/>
          <w:bCs/>
          <w:sz w:val="24"/>
          <w:highlight w:val="none"/>
        </w:rPr>
        <w:t>”）作为本理财产品的</w:t>
      </w:r>
      <w:r>
        <w:rPr>
          <w:rFonts w:hint="eastAsia" w:ascii="楷体_GB2312" w:hAnsi="楷体" w:eastAsia="楷体_GB2312"/>
          <w:b/>
          <w:bCs/>
          <w:sz w:val="24"/>
          <w:highlight w:val="none"/>
          <w:lang w:eastAsia="zh-CN"/>
        </w:rPr>
        <w:t>产品管理</w:t>
      </w:r>
      <w:r>
        <w:rPr>
          <w:rFonts w:hint="eastAsia" w:ascii="楷体_GB2312" w:hAnsi="楷体" w:eastAsia="楷体_GB2312"/>
          <w:b/>
          <w:bCs/>
          <w:color w:val="auto"/>
          <w:sz w:val="24"/>
          <w:highlight w:val="none"/>
          <w:lang w:eastAsia="zh-CN"/>
        </w:rPr>
        <w:t>人</w:t>
      </w:r>
      <w:r>
        <w:rPr>
          <w:rFonts w:hint="eastAsia" w:ascii="楷体_GB2312" w:hAnsi="楷体" w:eastAsia="楷体_GB2312"/>
          <w:b/>
          <w:bCs/>
          <w:color w:val="auto"/>
          <w:sz w:val="24"/>
          <w:highlight w:val="none"/>
        </w:rPr>
        <w:t>郑重提示您：</w:t>
      </w:r>
      <w:r>
        <w:rPr>
          <w:rFonts w:ascii="楷体_GB2312" w:hAnsi="楷体" w:eastAsia="楷体_GB2312" w:cs="Times New Roman"/>
          <w:b/>
          <w:bCs/>
          <w:color w:val="auto"/>
          <w:sz w:val="24"/>
          <w:highlight w:val="none"/>
        </w:rPr>
        <w:t>在选择购买</w:t>
      </w:r>
      <w:r>
        <w:rPr>
          <w:rFonts w:hint="eastAsia" w:ascii="楷体_GB2312" w:hAnsi="楷体" w:eastAsia="楷体_GB2312" w:cs="Times New Roman"/>
          <w:b/>
          <w:bCs/>
          <w:color w:val="auto"/>
          <w:sz w:val="24"/>
          <w:highlight w:val="none"/>
          <w:lang w:val="en-US" w:eastAsia="zh-CN"/>
        </w:rPr>
        <w:t>本</w:t>
      </w:r>
      <w:r>
        <w:rPr>
          <w:rFonts w:ascii="楷体_GB2312" w:hAnsi="楷体" w:eastAsia="楷体_GB2312" w:cs="Times New Roman"/>
          <w:b/>
          <w:bCs/>
          <w:color w:val="auto"/>
          <w:sz w:val="24"/>
          <w:highlight w:val="none"/>
        </w:rPr>
        <w:t>理财产品前，请注意投资风险，仔细阅读本</w:t>
      </w:r>
      <w:r>
        <w:rPr>
          <w:rFonts w:hint="eastAsia" w:ascii="楷体_GB2312" w:hAnsi="楷体" w:eastAsia="楷体_GB2312" w:cs="Times New Roman"/>
          <w:b/>
          <w:bCs/>
          <w:color w:val="auto"/>
          <w:sz w:val="24"/>
          <w:highlight w:val="none"/>
          <w:lang w:val="en-US" w:eastAsia="zh-CN"/>
        </w:rPr>
        <w:t>理财产品</w:t>
      </w:r>
      <w:r>
        <w:rPr>
          <w:rFonts w:hint="eastAsia" w:ascii="楷体_GB2312" w:hAnsi="楷体" w:eastAsia="楷体_GB2312" w:cs="Times New Roman"/>
          <w:b/>
          <w:bCs/>
          <w:color w:val="auto"/>
          <w:sz w:val="24"/>
          <w:highlight w:val="none"/>
        </w:rPr>
        <w:t>销售文件</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包括《</w:t>
      </w:r>
      <w:r>
        <w:rPr>
          <w:rFonts w:hint="eastAsia" w:ascii="楷体_GB2312" w:hAnsi="楷体" w:eastAsia="楷体_GB2312" w:cs="Times New Roman"/>
          <w:b/>
          <w:bCs/>
          <w:color w:val="auto"/>
          <w:sz w:val="24"/>
          <w:highlight w:val="none"/>
        </w:rPr>
        <w:t>理财产品投资协议书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理财产品说明书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风险揭示书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w:t>
      </w:r>
      <w:r>
        <w:rPr>
          <w:rFonts w:hint="eastAsia" w:ascii="楷体_GB2312" w:hAnsi="楷体" w:eastAsia="楷体_GB2312" w:cs="Times New Roman"/>
          <w:b/>
          <w:bCs/>
          <w:color w:val="auto"/>
          <w:sz w:val="24"/>
          <w:highlight w:val="none"/>
        </w:rPr>
        <w:t>投资者权益须知</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和《代理销售</w:t>
      </w:r>
      <w:r>
        <w:rPr>
          <w:rFonts w:hint="eastAsia" w:ascii="楷体_GB2312" w:hAnsi="楷体" w:eastAsia="楷体_GB2312" w:cs="Times New Roman"/>
          <w:b/>
          <w:bCs/>
          <w:color w:val="auto"/>
          <w:sz w:val="24"/>
          <w:highlight w:val="none"/>
        </w:rPr>
        <w:t>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具体名称以代销机构为准</w:t>
      </w:r>
      <w:r>
        <w:rPr>
          <w:rFonts w:hint="eastAsia" w:ascii="楷体_GB2312" w:hAnsi="楷体" w:eastAsia="楷体_GB2312" w:cs="Times New Roman"/>
          <w:b/>
          <w:bCs/>
          <w:color w:val="auto"/>
          <w:sz w:val="24"/>
          <w:highlight w:val="none"/>
          <w:lang w:eastAsia="zh-CN"/>
        </w:rPr>
        <w:t>）</w:t>
      </w:r>
      <w:r>
        <w:rPr>
          <w:rFonts w:ascii="楷体_GB2312" w:hAnsi="楷体" w:eastAsia="楷体_GB2312" w:cs="Times New Roman"/>
          <w:b/>
          <w:bCs/>
          <w:color w:val="auto"/>
          <w:sz w:val="24"/>
          <w:highlight w:val="none"/>
        </w:rPr>
        <w:t>，</w:t>
      </w:r>
      <w:r>
        <w:rPr>
          <w:rFonts w:hint="eastAsia" w:ascii="楷体_GB2312" w:hAnsi="楷体" w:eastAsia="楷体_GB2312" w:cs="Times New Roman"/>
          <w:b/>
          <w:bCs/>
          <w:color w:val="auto"/>
          <w:sz w:val="24"/>
          <w:highlight w:val="none"/>
        </w:rPr>
        <w:t>特别是加黑及加“★”标识、以及有关责任或权利限制的条款</w:t>
      </w:r>
      <w:r>
        <w:rPr>
          <w:rFonts w:hint="eastAsia" w:ascii="楷体_GB2312" w:hAnsi="楷体" w:eastAsia="楷体_GB2312" w:cs="Times New Roman"/>
          <w:b/>
          <w:bCs/>
          <w:color w:val="auto"/>
          <w:sz w:val="24"/>
          <w:highlight w:val="none"/>
          <w:lang w:eastAsia="zh-CN"/>
        </w:rPr>
        <w:t>，</w:t>
      </w:r>
      <w:r>
        <w:rPr>
          <w:rFonts w:ascii="楷体_GB2312" w:hAnsi="楷体" w:eastAsia="楷体_GB2312" w:cs="Times New Roman"/>
          <w:b/>
          <w:bCs/>
          <w:color w:val="auto"/>
          <w:sz w:val="24"/>
          <w:highlight w:val="none"/>
        </w:rPr>
        <w:t>了解</w:t>
      </w:r>
      <w:r>
        <w:rPr>
          <w:rFonts w:hint="eastAsia" w:ascii="楷体_GB2312" w:hAnsi="楷体" w:eastAsia="楷体_GB2312" w:cs="Times New Roman"/>
          <w:b/>
          <w:bCs/>
          <w:color w:val="auto"/>
          <w:sz w:val="24"/>
          <w:highlight w:val="none"/>
          <w:lang w:val="en-US" w:eastAsia="zh-CN"/>
        </w:rPr>
        <w:t>本</w:t>
      </w:r>
      <w:r>
        <w:rPr>
          <w:rFonts w:ascii="楷体_GB2312" w:hAnsi="楷体" w:eastAsia="楷体_GB2312" w:cs="Times New Roman"/>
          <w:b/>
          <w:bCs/>
          <w:color w:val="auto"/>
          <w:sz w:val="24"/>
          <w:highlight w:val="none"/>
        </w:rPr>
        <w:t>理财产品具体情况</w:t>
      </w:r>
      <w:r>
        <w:rPr>
          <w:rFonts w:hint="default" w:ascii="楷体_GB2312" w:hAnsi="楷体" w:eastAsia="楷体_GB2312" w:cs="Times New Roman"/>
          <w:b/>
          <w:bCs/>
          <w:color w:val="auto"/>
          <w:sz w:val="24"/>
          <w:highlight w:val="none"/>
          <w:lang w:eastAsia="zh-Hans"/>
        </w:rPr>
        <w:t>，充分认识</w:t>
      </w:r>
      <w:r>
        <w:rPr>
          <w:rFonts w:hint="eastAsia" w:ascii="楷体_GB2312" w:hAnsi="楷体" w:eastAsia="楷体_GB2312" w:cs="Times New Roman"/>
          <w:b/>
          <w:bCs/>
          <w:color w:val="auto"/>
          <w:sz w:val="24"/>
          <w:highlight w:val="none"/>
          <w:lang w:eastAsia="zh-Hans"/>
        </w:rPr>
        <w:t>以下</w:t>
      </w:r>
      <w:r>
        <w:rPr>
          <w:rFonts w:hint="eastAsia" w:ascii="楷体_GB2312" w:hAnsi="楷体" w:eastAsia="楷体_GB2312" w:cs="Times New Roman"/>
          <w:b/>
          <w:bCs/>
          <w:color w:val="auto"/>
          <w:sz w:val="24"/>
          <w:highlight w:val="none"/>
          <w:lang w:val="en-US" w:eastAsia="zh-CN"/>
        </w:rPr>
        <w:t>投资</w:t>
      </w:r>
      <w:r>
        <w:rPr>
          <w:rFonts w:hint="eastAsia" w:ascii="楷体_GB2312" w:hAnsi="楷体" w:eastAsia="楷体_GB2312" w:cs="Times New Roman"/>
          <w:b/>
          <w:bCs/>
          <w:color w:val="auto"/>
          <w:sz w:val="24"/>
          <w:highlight w:val="none"/>
          <w:lang w:eastAsia="zh-Hans"/>
        </w:rPr>
        <w:t>风险</w:t>
      </w:r>
      <w:r>
        <w:rPr>
          <w:rFonts w:ascii="楷体_GB2312" w:hAnsi="楷体" w:eastAsia="楷体_GB2312" w:cs="Times New Roman"/>
          <w:b/>
          <w:bCs/>
          <w:color w:val="auto"/>
          <w:sz w:val="24"/>
          <w:highlight w:val="none"/>
        </w:rPr>
        <w:t>；在购买</w:t>
      </w:r>
      <w:r>
        <w:rPr>
          <w:rFonts w:hint="eastAsia" w:ascii="楷体_GB2312" w:hAnsi="楷体" w:eastAsia="楷体_GB2312" w:cs="Times New Roman"/>
          <w:b/>
          <w:bCs/>
          <w:color w:val="auto"/>
          <w:sz w:val="24"/>
          <w:highlight w:val="none"/>
          <w:lang w:val="en-US" w:eastAsia="zh-CN"/>
        </w:rPr>
        <w:t>本</w:t>
      </w:r>
      <w:r>
        <w:rPr>
          <w:rFonts w:ascii="楷体_GB2312" w:hAnsi="楷体" w:eastAsia="楷体_GB2312" w:cs="Times New Roman"/>
          <w:b/>
          <w:bCs/>
          <w:color w:val="auto"/>
          <w:sz w:val="24"/>
          <w:highlight w:val="none"/>
        </w:rPr>
        <w:t>理财产品后，请关注</w:t>
      </w:r>
      <w:r>
        <w:rPr>
          <w:rFonts w:hint="eastAsia" w:ascii="楷体_GB2312" w:hAnsi="楷体" w:eastAsia="楷体_GB2312" w:cs="Times New Roman"/>
          <w:b/>
          <w:bCs/>
          <w:color w:val="auto"/>
          <w:sz w:val="24"/>
          <w:highlight w:val="none"/>
          <w:lang w:val="en-US" w:eastAsia="zh-CN"/>
        </w:rPr>
        <w:t>本</w:t>
      </w:r>
      <w:r>
        <w:rPr>
          <w:rFonts w:ascii="楷体_GB2312" w:hAnsi="楷体" w:eastAsia="楷体_GB2312" w:cs="Times New Roman"/>
          <w:b/>
          <w:bCs/>
          <w:color w:val="auto"/>
          <w:sz w:val="24"/>
          <w:highlight w:val="none"/>
        </w:rPr>
        <w:t>理财产品的信息披露情况，及时获取相关信息。</w:t>
      </w:r>
    </w:p>
    <w:p w14:paraId="1BDB46D4">
      <w:p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rPr>
        <w:t>★一、风险揭示</w:t>
      </w:r>
    </w:p>
    <w:p w14:paraId="3901EEC6">
      <w:pPr>
        <w:ind w:firstLine="482" w:firstLineChars="200"/>
        <w:rPr>
          <w:rFonts w:hint="eastAsia" w:ascii="楷体_GB2312" w:hAnsi="楷体" w:eastAsia="楷体_GB2312"/>
          <w:sz w:val="24"/>
          <w:highlight w:val="none"/>
        </w:rPr>
      </w:pPr>
      <w:r>
        <w:rPr>
          <w:rFonts w:hint="eastAsia" w:ascii="楷体_GB2312" w:hAnsi="楷体" w:eastAsia="楷体_GB2312"/>
          <w:b/>
          <w:bCs/>
          <w:sz w:val="24"/>
          <w:highlight w:val="none"/>
        </w:rPr>
        <w:t>本</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rPr>
        <w:t>产品不保证本金和收益。</w:t>
      </w:r>
      <w:r>
        <w:rPr>
          <w:rFonts w:hint="eastAsia" w:ascii="楷体_GB2312" w:hAnsi="楷体" w:eastAsia="楷体_GB2312"/>
          <w:sz w:val="24"/>
          <w:highlight w:val="none"/>
        </w:rPr>
        <w:t>本</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风险揭示书</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旨在向您揭示投资本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产品所具有的各种风险，以帮助您根据自身的投资经验、财务状况、投资目标、风险承受能力等情况评估和确定是否做出投资决策，但本</w:t>
      </w: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风险</w:t>
      </w:r>
      <w:r>
        <w:rPr>
          <w:rFonts w:hint="eastAsia" w:ascii="楷体_GB2312" w:hAnsi="楷体" w:eastAsia="楷体_GB2312"/>
          <w:sz w:val="24"/>
          <w:highlight w:val="none"/>
        </w:rPr>
        <w:t>揭示书</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仅供您作为决策参考，且仅为列举性质，不可能完全覆盖和揭示所有风险，因此，在</w:t>
      </w:r>
      <w:r>
        <w:rPr>
          <w:rFonts w:hint="eastAsia" w:ascii="楷体_GB2312" w:hAnsi="楷体" w:eastAsia="楷体_GB2312"/>
          <w:sz w:val="24"/>
          <w:highlight w:val="none"/>
          <w:lang w:eastAsia="zh-Hans"/>
        </w:rPr>
        <w:t>您选择购买本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lang w:eastAsia="zh-Hans"/>
        </w:rPr>
        <w:t>产品</w:t>
      </w:r>
      <w:r>
        <w:rPr>
          <w:rFonts w:hint="eastAsia" w:ascii="楷体_GB2312" w:hAnsi="楷体" w:eastAsia="楷体_GB2312"/>
          <w:sz w:val="24"/>
          <w:highlight w:val="none"/>
        </w:rPr>
        <w:t>前，应当仔细阅读本</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风险揭示书</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w:t>
      </w:r>
      <w:r>
        <w:rPr>
          <w:rFonts w:hint="eastAsia" w:ascii="楷体_GB2312" w:hAnsi="楷体" w:eastAsia="楷体_GB2312"/>
          <w:sz w:val="24"/>
          <w:highlight w:val="none"/>
          <w:lang w:eastAsia="zh-CN"/>
        </w:rPr>
        <w:t>《</w:t>
      </w:r>
      <w:r>
        <w:rPr>
          <w:rFonts w:hint="eastAsia" w:ascii="楷体_GB2312" w:hAnsi="楷体" w:eastAsia="楷体_GB2312"/>
          <w:b w:val="0"/>
          <w:bCs w:val="0"/>
          <w:sz w:val="24"/>
          <w:szCs w:val="24"/>
          <w:highlight w:val="none"/>
        </w:rPr>
        <w:t>理财产品投资协议书</w:t>
      </w:r>
      <w:r>
        <w:rPr>
          <w:rFonts w:hint="eastAsia" w:ascii="楷体_GB2312" w:hAnsi="楷体" w:eastAsia="楷体_GB2312"/>
          <w:b w:val="0"/>
          <w:bCs w:val="0"/>
          <w:sz w:val="24"/>
          <w:szCs w:val="24"/>
          <w:highlight w:val="none"/>
          <w:lang w:eastAsia="zh-CN"/>
        </w:rPr>
        <w:t>》、《</w:t>
      </w:r>
      <w:r>
        <w:rPr>
          <w:rFonts w:hint="eastAsia" w:ascii="楷体_GB2312" w:hAnsi="楷体" w:eastAsia="楷体_GB2312"/>
          <w:b w:val="0"/>
          <w:bCs w:val="0"/>
          <w:sz w:val="24"/>
          <w:szCs w:val="24"/>
          <w:highlight w:val="none"/>
        </w:rPr>
        <w:t>理财产品说明书</w:t>
      </w:r>
      <w:r>
        <w:rPr>
          <w:rFonts w:hint="eastAsia" w:ascii="楷体_GB2312" w:hAnsi="楷体" w:eastAsia="楷体_GB2312"/>
          <w:b w:val="0"/>
          <w:bCs w:val="0"/>
          <w:sz w:val="24"/>
          <w:szCs w:val="24"/>
          <w:highlight w:val="none"/>
          <w:lang w:eastAsia="zh-CN"/>
        </w:rPr>
        <w:t>》</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投资者权益须知</w:t>
      </w: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和《</w:t>
      </w:r>
      <w:r>
        <w:rPr>
          <w:rFonts w:hint="eastAsia" w:ascii="楷体_GB2312" w:hAnsi="楷体" w:eastAsia="楷体_GB2312"/>
          <w:b w:val="0"/>
          <w:bCs w:val="0"/>
          <w:sz w:val="24"/>
          <w:szCs w:val="24"/>
          <w:highlight w:val="none"/>
          <w:lang w:val="en-US" w:eastAsia="zh-CN"/>
        </w:rPr>
        <w:t>代理销售</w:t>
      </w:r>
      <w:r>
        <w:rPr>
          <w:rFonts w:hint="eastAsia" w:ascii="楷体_GB2312" w:hAnsi="楷体" w:eastAsia="楷体_GB2312"/>
          <w:b w:val="0"/>
          <w:bCs w:val="0"/>
          <w:sz w:val="24"/>
          <w:highlight w:val="none"/>
        </w:rPr>
        <w:t>协议书</w:t>
      </w:r>
      <w:r>
        <w:rPr>
          <w:rFonts w:hint="eastAsia" w:ascii="楷体_GB2312" w:hAnsi="楷体" w:eastAsia="楷体_GB2312"/>
          <w:b w:val="0"/>
          <w:bCs w:val="0"/>
          <w:sz w:val="24"/>
          <w:highlight w:val="none"/>
          <w:lang w:eastAsia="zh-CN"/>
        </w:rPr>
        <w:t>》</w:t>
      </w:r>
      <w:r>
        <w:rPr>
          <w:rFonts w:hint="eastAsia" w:ascii="楷体_GB2312" w:hAnsi="楷体" w:eastAsia="楷体_GB2312"/>
          <w:b w:val="0"/>
          <w:bCs/>
          <w:sz w:val="24"/>
          <w:highlight w:val="none"/>
          <w:lang w:eastAsia="zh-CN"/>
        </w:rPr>
        <w:t>（</w:t>
      </w:r>
      <w:r>
        <w:rPr>
          <w:rFonts w:hint="eastAsia" w:ascii="楷体_GB2312" w:hAnsi="楷体" w:eastAsia="楷体_GB2312"/>
          <w:b w:val="0"/>
          <w:bCs/>
          <w:sz w:val="24"/>
          <w:highlight w:val="none"/>
          <w:lang w:val="en-US" w:eastAsia="zh-CN"/>
        </w:rPr>
        <w:t>具体名称以代销机构为准</w:t>
      </w:r>
      <w:r>
        <w:rPr>
          <w:rFonts w:hint="eastAsia" w:ascii="楷体_GB2312" w:hAnsi="楷体" w:eastAsia="楷体_GB2312"/>
          <w:b w:val="0"/>
          <w:bCs/>
          <w:sz w:val="24"/>
          <w:highlight w:val="none"/>
          <w:lang w:eastAsia="zh-CN"/>
        </w:rPr>
        <w:t>）</w:t>
      </w:r>
      <w:r>
        <w:rPr>
          <w:rFonts w:hint="eastAsia" w:ascii="楷体_GB2312" w:hAnsi="楷体" w:eastAsia="楷体_GB2312"/>
          <w:sz w:val="24"/>
          <w:highlight w:val="none"/>
        </w:rPr>
        <w:t>等</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理财产品销售文件的全部内容，同时向</w:t>
      </w:r>
      <w:r>
        <w:rPr>
          <w:rFonts w:hint="eastAsia" w:ascii="楷体_GB2312" w:hAnsi="楷体" w:eastAsia="楷体_GB2312"/>
          <w:sz w:val="24"/>
          <w:highlight w:val="none"/>
          <w:lang w:eastAsia="zh-Hans"/>
        </w:rPr>
        <w:t>产品管理人</w:t>
      </w:r>
      <w:r>
        <w:rPr>
          <w:rFonts w:hint="eastAsia" w:ascii="楷体_GB2312" w:hAnsi="楷体" w:eastAsia="楷体_GB2312"/>
          <w:sz w:val="24"/>
          <w:highlight w:val="none"/>
        </w:rPr>
        <w:t>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机构了解本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lang w:eastAsia="zh-Hans"/>
        </w:rPr>
        <w:t>产品</w:t>
      </w:r>
      <w:r>
        <w:rPr>
          <w:rFonts w:hint="eastAsia" w:ascii="楷体_GB2312" w:hAnsi="楷体" w:eastAsia="楷体_GB2312"/>
          <w:sz w:val="24"/>
          <w:highlight w:val="none"/>
        </w:rPr>
        <w:t>的其他相关信息，自</w:t>
      </w:r>
      <w:r>
        <w:rPr>
          <w:rFonts w:hint="eastAsia" w:ascii="楷体_GB2312" w:hAnsi="楷体" w:eastAsia="楷体_GB2312"/>
          <w:sz w:val="24"/>
          <w:highlight w:val="none"/>
          <w:lang w:eastAsia="zh-Hans"/>
        </w:rPr>
        <w:t>行</w:t>
      </w:r>
      <w:r>
        <w:rPr>
          <w:rFonts w:hint="eastAsia" w:ascii="楷体_GB2312" w:hAnsi="楷体" w:eastAsia="楷体_GB2312"/>
          <w:sz w:val="24"/>
          <w:highlight w:val="none"/>
        </w:rPr>
        <w:t>独立作出是否认购</w:t>
      </w:r>
      <w:r>
        <w:rPr>
          <w:rFonts w:hint="eastAsia" w:ascii="楷体_GB2312" w:hAnsi="楷体" w:eastAsia="楷体_GB2312"/>
          <w:sz w:val="24"/>
          <w:highlight w:val="none"/>
          <w:lang w:val="en-US" w:eastAsia="zh-CN"/>
        </w:rPr>
        <w:t>/申购</w:t>
      </w:r>
      <w:r>
        <w:rPr>
          <w:rFonts w:hint="eastAsia" w:ascii="楷体_GB2312" w:hAnsi="楷体" w:eastAsia="楷体_GB2312"/>
          <w:sz w:val="24"/>
          <w:highlight w:val="none"/>
        </w:rPr>
        <w:t>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lang w:eastAsia="zh-Hans"/>
        </w:rPr>
        <w:t>产品</w:t>
      </w:r>
      <w:r>
        <w:rPr>
          <w:rFonts w:hint="eastAsia" w:ascii="楷体_GB2312" w:hAnsi="楷体" w:eastAsia="楷体_GB2312"/>
          <w:sz w:val="24"/>
          <w:highlight w:val="none"/>
        </w:rPr>
        <w:t>的决定</w:t>
      </w:r>
      <w:r>
        <w:rPr>
          <w:rFonts w:hint="eastAsia" w:ascii="楷体_GB2312" w:hAnsi="楷体" w:eastAsia="楷体_GB2312"/>
          <w:sz w:val="24"/>
          <w:highlight w:val="none"/>
          <w:lang w:eastAsia="zh-Hans"/>
        </w:rPr>
        <w:t>，</w:t>
      </w:r>
      <w:r>
        <w:rPr>
          <w:rFonts w:hint="eastAsia" w:ascii="楷体_GB2312" w:hAnsi="楷体" w:eastAsia="楷体_GB2312"/>
          <w:sz w:val="24"/>
          <w:highlight w:val="none"/>
        </w:rPr>
        <w:t>并自行承担决策后果和责任。本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产品涉及的主要风险，包括但不限于：</w:t>
      </w:r>
    </w:p>
    <w:p w14:paraId="556FEE6A">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（一）信用风险：</w:t>
      </w:r>
      <w:r>
        <w:rPr>
          <w:rFonts w:hint="eastAsia" w:ascii="楷体_GB2312" w:hAnsi="楷体" w:eastAsia="楷体_GB2312" w:cs="Times New Roman"/>
          <w:kern w:val="2"/>
          <w:sz w:val="24"/>
          <w:szCs w:val="24"/>
          <w:highlight w:val="none"/>
          <w:lang w:val="en-US" w:eastAsia="zh-CN" w:bidi="ar-SA"/>
        </w:rPr>
        <w:t>本理财产品所投资的债券、债权资产等金融产品涉及融资人的信用风险，若融资人发生信用风险事件，将导致相应金融产品的市场价值下跌或收益、到期本金等无法足额按时偿还，则投资者可能面临本金和收益遭受部分甚至全部损失的风险。</w:t>
      </w:r>
    </w:p>
    <w:p w14:paraId="0CB17A5B">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（二）市场风险：</w:t>
      </w:r>
      <w:r>
        <w:rPr>
          <w:rFonts w:hint="eastAsia" w:ascii="楷体_GB2312" w:hAnsi="楷体" w:eastAsia="楷体_GB2312" w:cs="Times New Roman"/>
          <w:kern w:val="2"/>
          <w:sz w:val="24"/>
          <w:szCs w:val="24"/>
          <w:highlight w:val="none"/>
          <w:lang w:val="en-US" w:eastAsia="zh-CN" w:bidi="ar-SA"/>
        </w:rPr>
        <w:t>本理财产品投资收益来源于本理财产品对应投资组合的运作和回报，因国家政策、经济周期、利率、汇率等因素可能发生变化，导致投资品种的市场价格发生波动，由此可能影响本理财产品的收益水平，则投资者可能面临本金和收益遭受部分甚至全部损失的风险。</w:t>
      </w:r>
    </w:p>
    <w:p w14:paraId="2DDA8189">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（三）流动性风险：</w:t>
      </w:r>
      <w:r>
        <w:rPr>
          <w:rFonts w:hint="eastAsia" w:ascii="楷体_GB2312" w:hAnsi="楷体" w:eastAsia="楷体_GB2312" w:cs="Times New Roman"/>
          <w:kern w:val="2"/>
          <w:sz w:val="24"/>
          <w:szCs w:val="24"/>
          <w:highlight w:val="none"/>
          <w:lang w:val="en-US" w:eastAsia="zh-CN" w:bidi="ar-SA"/>
        </w:rPr>
        <w:t>流动性风险是指理财产品无法通过变现资产等途径以合理成本及时获得充足资金，用于满足该理财产品的投资者赎回需求、履行其他支付义务的风险。</w:t>
      </w:r>
    </w:p>
    <w:p w14:paraId="50A07EBD">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1.拟投资市场、行业及资产的流动性风险</w:t>
      </w:r>
    </w:p>
    <w:p w14:paraId="0EC87994">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本理财产品的投资范围、投资策略、投资限制等因素具体请参见《理财产品说明书》“四、产品的投资运作”部分。经综合评估，在正常市场环境下本理财产品的整体流动性风险可控，但不排除因证券市场波动、市场交易量不足等情形导致流动性风险。</w:t>
      </w:r>
    </w:p>
    <w:p w14:paraId="7AA5664E">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2.流动性风险应对措施及对投资者的潜在影响</w:t>
      </w:r>
    </w:p>
    <w:p w14:paraId="01F3487D">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若本理财产品出现流动性风险，为保护本理财产品投资者利益，产品管理人可以依照法律法规及本理财产品销售文件的约定，综合运用理财产品流动性风险应对措施。如“设定单一投资者持有金额上限”，本理财产品的产品管理人可根据实际业务情况设定单一投资者持有金额上限，对于超出单一投资者持有金额上限的认购/申购申请，投资者可能面临全部或部分认购/申购申请被拒绝的风险。本理财产品的产品管理人将定期评估投资组合的流动性风险水平，使得流动性资产配置比例保持在适当水平下，综合匹配投资收益和产品期限设置。</w:t>
      </w:r>
    </w:p>
    <w:p w14:paraId="770B2B24">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b/>
          <w:bCs/>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3.因投资者流动性需求与本理财产品的认/申购、赎回安排不相符而产生的风险。</w:t>
      </w:r>
    </w:p>
    <w:p w14:paraId="37216AD6">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b/>
          <w:bCs/>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本理财产品为封闭式产品，除本理财产品销售文件另有约定外，产品存续期内不开放申购和赎回，投资者不能随时提前终止或赎回本理财产品。上述安排可能影响投资者的资金流动性安排，如果投资者在产品存续期内产生流动性需求，则可能面临理财产品不能随时变现、持有期与资金需求日不匹配的风险。投资者应当根据自身投资目标、投资期限等情况审慎作出投资决策。</w:t>
      </w:r>
    </w:p>
    <w:p w14:paraId="74C01C8E">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（四）管理风险：</w:t>
      </w:r>
      <w:r>
        <w:rPr>
          <w:rFonts w:hint="eastAsia" w:ascii="楷体_GB2312" w:hAnsi="楷体" w:eastAsia="楷体_GB2312" w:cs="Times New Roman"/>
          <w:kern w:val="2"/>
          <w:sz w:val="24"/>
          <w:szCs w:val="24"/>
          <w:highlight w:val="none"/>
          <w:lang w:val="en-US" w:eastAsia="zh-CN" w:bidi="ar-SA"/>
        </w:rPr>
        <w:t>由于本理财产品的产品管理人、所投资的信托计划/资管计划的受托人/资产管理人（若有）、投资顾问（若有）等，受经验、技能等因素的限制，会影响其对信息的获取和对经济形势、金融市场价格走势的判断。如产品管理人、受托人/资产管理人（若有）、投资顾问（若有）等判断有误、获取信息不全或对投资工具使用不当等，可能会对本理财产品的运作和管理造成一定影响，则投资者可能面临本金和收益遭受部分甚至全部损失的风险。</w:t>
      </w:r>
    </w:p>
    <w:p w14:paraId="38E6CBCA">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（五）操作风险：</w:t>
      </w:r>
      <w:r>
        <w:rPr>
          <w:rFonts w:hint="eastAsia" w:ascii="楷体_GB2312" w:hAnsi="楷体" w:eastAsia="楷体_GB2312" w:cs="Times New Roman"/>
          <w:kern w:val="2"/>
          <w:sz w:val="24"/>
          <w:szCs w:val="24"/>
          <w:highlight w:val="none"/>
          <w:lang w:val="en-US" w:eastAsia="zh-CN" w:bidi="ar-SA"/>
        </w:rPr>
        <w:t>如本理财产品的产品管理人由于内部作业、人员管理、系统操作及事务处理不当或失误等，则投资者可能面临本金和收益遭受部分甚至全部损失的风险。</w:t>
      </w:r>
    </w:p>
    <w:p w14:paraId="1D1E10D5">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（六）法律和政策风险：</w:t>
      </w:r>
      <w:r>
        <w:rPr>
          <w:rFonts w:hint="eastAsia" w:ascii="楷体_GB2312" w:hAnsi="楷体" w:eastAsia="楷体_GB2312" w:cs="Times New Roman"/>
          <w:kern w:val="2"/>
          <w:sz w:val="24"/>
          <w:szCs w:val="24"/>
          <w:highlight w:val="none"/>
          <w:lang w:val="en-US" w:eastAsia="zh-CN" w:bidi="ar-SA"/>
        </w:rPr>
        <w:t>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投资者可能面临本金和收益遭受部分甚至全部损失的风险。</w:t>
      </w:r>
    </w:p>
    <w:p w14:paraId="7682B24C">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（七）提前终止及再投资风险：</w:t>
      </w:r>
      <w:r>
        <w:rPr>
          <w:rFonts w:hint="eastAsia" w:ascii="楷体_GB2312" w:hAnsi="楷体" w:eastAsia="楷体_GB2312" w:cs="Times New Roman"/>
          <w:kern w:val="2"/>
          <w:sz w:val="24"/>
          <w:szCs w:val="24"/>
          <w:highlight w:val="none"/>
          <w:lang w:val="en-US" w:eastAsia="zh-CN" w:bidi="ar-SA"/>
        </w:rPr>
        <w:t>在本理财产品存续期限内，为保护投资者利益，产品管理人可根据本《理财产品说明书》约定的情况提前终止本理财产品。一旦本理财产品被提前终止，则本理财产品的实际理财天数可能小于预计的理财天数，投资者无法实现期初预期的全部收益，并且投资者届时可能面临较差再投资环境和机会的风险。</w:t>
      </w:r>
    </w:p>
    <w:p w14:paraId="3B68D90C">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3" w:firstLineChars="3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（八）兑付延期风险：</w:t>
      </w:r>
      <w:r>
        <w:rPr>
          <w:rFonts w:hint="eastAsia" w:ascii="楷体_GB2312" w:hAnsi="楷体" w:eastAsia="楷体_GB2312" w:cs="Times New Roman"/>
          <w:kern w:val="2"/>
          <w:sz w:val="24"/>
          <w:szCs w:val="24"/>
          <w:highlight w:val="none"/>
          <w:lang w:val="en-US" w:eastAsia="zh-CN" w:bidi="ar-SA"/>
        </w:rPr>
        <w:t>因市场成交量不足、资产限制赎回、暂停交易、缺乏意愿交易对手等原因，产品管理人未能及时完成资产变现而导致本理财产品不能及时变现或产品管理人不能按时支付清算分配金额，从而致使投资者可能面临产品期限延期、产品延缓支付/延迟兑付、产品兑付方案调整等风险，投资者由此可能面临本金和收益遭受部分甚至全部损失的风险。</w:t>
      </w:r>
    </w:p>
    <w:p w14:paraId="0890AF23">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3" w:firstLineChars="3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（九）代销风险：</w:t>
      </w:r>
      <w:r>
        <w:rPr>
          <w:rFonts w:hint="eastAsia" w:ascii="楷体_GB2312" w:hAnsi="楷体" w:eastAsia="楷体_GB2312" w:cs="Times New Roman"/>
          <w:kern w:val="2"/>
          <w:sz w:val="24"/>
          <w:szCs w:val="24"/>
          <w:highlight w:val="none"/>
          <w:lang w:val="en-US" w:eastAsia="zh-CN" w:bidi="ar-SA"/>
        </w:rPr>
        <w:t>本理财产品通过代销渠道销售，投资者购买本理财产品的资金由代销机构从投资者清算账户扣收并划付产品管理人，投资者赎回及本理财产品到期/终止时理财本金及收益相应款项由产品管理人按本理财产品销售文件约定划付至代销机构清算账户，并由代销机构向投资者支付投资者应得理财本金及收益。</w:t>
      </w:r>
      <w:r>
        <w:rPr>
          <w:rFonts w:hint="eastAsia" w:ascii="楷体_GB2312" w:hAnsi="楷体" w:eastAsia="楷体_GB2312" w:cs="Times New Roman"/>
          <w:b/>
          <w:bCs/>
          <w:kern w:val="2"/>
          <w:sz w:val="24"/>
          <w:szCs w:val="24"/>
          <w:highlight w:val="none"/>
          <w:lang w:val="en-US" w:eastAsia="zh-CN" w:bidi="ar-SA"/>
        </w:rPr>
        <w:t>如因代销机构未及时足额划付资金，或代销机构清算账户内资金被依法冻结或扣划、账户处于被挂失、冻结、注销或其他非正常状态等原因而导致交易失败，由代销机构与投资者依法协商解决，产品管理人对此不承担责任。</w:t>
      </w:r>
    </w:p>
    <w:p w14:paraId="3D7833C1">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3" w:firstLineChars="300"/>
        <w:textAlignment w:val="auto"/>
        <w:rPr>
          <w:rFonts w:hint="eastAsia" w:ascii="楷体_GB2312" w:hAnsi="楷体" w:eastAsia="楷体_GB2312" w:cs="Times New Roman"/>
          <w:b/>
          <w:bCs/>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（十）信息传递风险：</w:t>
      </w:r>
      <w:r>
        <w:rPr>
          <w:rFonts w:hint="eastAsia" w:ascii="楷体_GB2312" w:hAnsi="楷体" w:eastAsia="楷体_GB2312" w:cs="Times New Roman"/>
          <w:kern w:val="2"/>
          <w:sz w:val="24"/>
          <w:szCs w:val="24"/>
          <w:highlight w:val="none"/>
          <w:lang w:val="en-US" w:eastAsia="zh-CN" w:bidi="ar-SA"/>
        </w:rPr>
        <w:t>投资者需要通过本理财产品销售文件所载明的公告方式及时查询本理财产品的相关信息公告。如因投资者联系信息有误、投资者未及时查询，或由于通讯故障、系统故障以及其他不可抗力及/或意外事件等因素的影响使得投资者无法及时了解本理财产品信息，进而影响投资者的投资决策，</w:t>
      </w:r>
      <w:r>
        <w:rPr>
          <w:rFonts w:hint="eastAsia" w:ascii="楷体_GB2312" w:hAnsi="楷体" w:eastAsia="楷体_GB2312" w:cs="Times New Roman"/>
          <w:b/>
          <w:bCs/>
          <w:kern w:val="2"/>
          <w:sz w:val="24"/>
          <w:szCs w:val="24"/>
          <w:highlight w:val="none"/>
          <w:lang w:val="en-US" w:eastAsia="zh-CN" w:bidi="ar-SA"/>
        </w:rPr>
        <w:t>因此而产生的责任和风险由投资者自行承担；</w:t>
      </w:r>
      <w:r>
        <w:rPr>
          <w:rFonts w:hint="eastAsia" w:ascii="楷体_GB2312" w:hAnsi="楷体" w:eastAsia="楷体_GB2312" w:cs="Times New Roman"/>
          <w:kern w:val="2"/>
          <w:sz w:val="24"/>
          <w:szCs w:val="24"/>
          <w:highlight w:val="none"/>
          <w:lang w:val="en-US" w:eastAsia="zh-CN" w:bidi="ar-SA"/>
        </w:rPr>
        <w:t>另外，投资者预留在产品管理人的有效联系方式发生变更的，应及时通知本理财产品的产品管理人；如投资者未能及时告知，可能会由此影响投资者的投资决策，</w:t>
      </w:r>
      <w:r>
        <w:rPr>
          <w:rFonts w:hint="eastAsia" w:ascii="楷体_GB2312" w:hAnsi="楷体" w:eastAsia="楷体_GB2312" w:cs="Times New Roman"/>
          <w:b/>
          <w:bCs/>
          <w:kern w:val="2"/>
          <w:sz w:val="24"/>
          <w:szCs w:val="24"/>
          <w:highlight w:val="none"/>
          <w:lang w:val="en-US" w:eastAsia="zh-CN" w:bidi="ar-SA"/>
        </w:rPr>
        <w:t>因此产生的责任和风险由投资者自行承担。</w:t>
      </w:r>
    </w:p>
    <w:p w14:paraId="601E9043">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3" w:firstLineChars="300"/>
        <w:textAlignment w:val="auto"/>
        <w:rPr>
          <w:rFonts w:hint="eastAsia" w:ascii="楷体_GB2312" w:hAnsi="楷体" w:eastAsia="楷体_GB2312" w:cs="Times New Roman"/>
          <w:b/>
          <w:bCs/>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（十一）不可抗力及/或意外事件风险：</w:t>
      </w:r>
      <w:r>
        <w:rPr>
          <w:rFonts w:hint="eastAsia" w:ascii="楷体_GB2312" w:hAnsi="楷体" w:eastAsia="楷体_GB2312" w:cs="Times New Roman"/>
          <w:kern w:val="2"/>
          <w:sz w:val="24"/>
          <w:szCs w:val="24"/>
          <w:highlight w:val="none"/>
          <w:lang w:val="en-US" w:eastAsia="zh-CN" w:bidi="ar-SA"/>
        </w:rPr>
        <w:t>由于不可抗力及/或国家政策变化、IT系统故障、通讯系统故障、电力系统故障、金融危机、投资市场停止交易等非产品管理人所能控制的原因，可能对本理财产品的产品成立、投资运作、资金划付、信息披露、公告通知等造成影响，可能导致本理财产品收益降低乃至本理财产品本金遭受损失。</w:t>
      </w:r>
      <w:r>
        <w:rPr>
          <w:rFonts w:hint="eastAsia" w:ascii="楷体_GB2312" w:hAnsi="楷体" w:eastAsia="楷体_GB2312" w:cs="Times New Roman"/>
          <w:b/>
          <w:bCs/>
          <w:kern w:val="2"/>
          <w:sz w:val="24"/>
          <w:szCs w:val="24"/>
          <w:highlight w:val="none"/>
          <w:lang w:val="en-US" w:eastAsia="zh-CN" w:bidi="ar-SA"/>
        </w:rPr>
        <w:t>对于由不可抗力及/或意外事件风险导致的任何损失和延迟兑付，投资者须自行承担，产品管理人对此不承担责任。</w:t>
      </w:r>
    </w:p>
    <w:p w14:paraId="0D5A04C4">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0" w:firstLineChars="3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因不可抗力及/或意外事件导致产品管理人无法继续履行本理财产品销售文件的，产品管理人有权提前解除本理财产品销售文件，并将发生不可抗力及/或意外事件后剩余的投资者应得理财本金及收益划付至代销机构清算账户，由代销机构划付至投资者清算账户。</w:t>
      </w:r>
    </w:p>
    <w:p w14:paraId="4647AE3E">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b/>
          <w:bCs/>
          <w:sz w:val="24"/>
        </w:rPr>
        <w:t>★</w:t>
      </w:r>
      <w:r>
        <w:rPr>
          <w:rFonts w:hint="eastAsia" w:ascii="楷体_GB2312" w:hAnsi="楷体" w:eastAsia="楷体_GB2312" w:cs="Times New Roman"/>
          <w:b/>
          <w:bCs/>
          <w:kern w:val="2"/>
          <w:sz w:val="24"/>
          <w:szCs w:val="24"/>
          <w:highlight w:val="none"/>
          <w:lang w:val="en-US" w:eastAsia="zh-CN" w:bidi="ar-SA"/>
        </w:rPr>
        <w:t>（十二）产品不成立的风险：</w:t>
      </w:r>
      <w:r>
        <w:rPr>
          <w:rFonts w:hint="eastAsia" w:ascii="楷体_GB2312" w:hAnsi="楷体" w:eastAsia="楷体_GB2312" w:cs="Times New Roman"/>
          <w:kern w:val="2"/>
          <w:sz w:val="24"/>
          <w:szCs w:val="24"/>
          <w:highlight w:val="none"/>
          <w:lang w:val="en-US" w:eastAsia="zh-CN" w:bidi="ar-SA"/>
        </w:rPr>
        <w:t>发生下述任一情形，本理财产品的产品管理人有权宣布本理财产品不成立，投资者将承担本理财产品不成立的风险：1.本理财产品募集期结束时募集资金总额未达到必要的规模上限或/及下限；2.国家相关法律、法规、监管规定、政策或要求出现重大变更，或者金融市场情况出现重大变化导致本理财产品不能成立的。投资者可能面临本理财产品不成立从而再投资的风险。</w:t>
      </w:r>
    </w:p>
    <w:p w14:paraId="4BEB4950">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3" w:firstLineChars="3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（十三）税务风险：</w:t>
      </w:r>
      <w:r>
        <w:rPr>
          <w:rFonts w:hint="eastAsia" w:ascii="楷体_GB2312" w:hAnsi="楷体" w:eastAsia="楷体_GB2312" w:cs="Times New Roman"/>
          <w:kern w:val="2"/>
          <w:sz w:val="24"/>
          <w:szCs w:val="24"/>
          <w:highlight w:val="none"/>
          <w:lang w:val="en-US" w:eastAsia="zh-CN" w:bidi="ar-SA"/>
        </w:rPr>
        <w:t>根据国家相关法律法规，本理财产品运营过程中发生的应由本理财产品承担的增值税应税行为，由产品管理人申报和缴纳增值税及附加税费。该等税款将直接从本理财产品中扣付缴纳，本理财产品将因为前述增值税等税负承担导致税费支出增加、理财产品净值或实际收益降低，从而降低投资者的收益水平。</w:t>
      </w:r>
    </w:p>
    <w:p w14:paraId="6BAB8BA6">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3" w:firstLineChars="3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★（十四）不同理财产品份额类别存在差异的风险：</w:t>
      </w:r>
      <w:r>
        <w:rPr>
          <w:rFonts w:hint="eastAsia" w:ascii="楷体_GB2312" w:hAnsi="楷体" w:eastAsia="楷体_GB2312" w:cs="Times New Roman"/>
          <w:kern w:val="2"/>
          <w:sz w:val="24"/>
          <w:szCs w:val="24"/>
          <w:highlight w:val="none"/>
          <w:lang w:val="en-US" w:eastAsia="zh-CN" w:bidi="ar-SA"/>
        </w:rPr>
        <w:t>产品管理人有权根据投资者购买本理财产品的金额、渠道客群、代销机构等因素，对本理财产品份额设置不同的理财产品份额类别。不同类别的理财产品份额可能在产品销售名称、产品销售代码、代销机构、渠道客群、销售手续费率、业绩比较基准、认购/申购投资起点金额及递增金额、单笔最大购买金额、累计购买金额、最少赎回份额、最低持有份额及信息披露渠道等方面存在差异。</w:t>
      </w:r>
    </w:p>
    <w:p w14:paraId="600EE2ED">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line="240" w:lineRule="auto"/>
        <w:ind w:left="0" w:leftChars="0" w:firstLine="723" w:firstLineChars="3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（十五）修改理财产品销售文件的风险：</w:t>
      </w:r>
      <w:r>
        <w:rPr>
          <w:rFonts w:hint="eastAsia" w:ascii="楷体_GB2312" w:hAnsi="楷体" w:eastAsia="楷体_GB2312" w:cs="Times New Roman"/>
          <w:kern w:val="2"/>
          <w:sz w:val="24"/>
          <w:szCs w:val="24"/>
          <w:highlight w:val="none"/>
          <w:lang w:val="en-US" w:eastAsia="zh-CN" w:bidi="ar-SA"/>
        </w:rPr>
        <w:t>本理财产品存续期间内，若出于维持本理财产品正常运营的需要且在不损害投资者利益的前提下，或因国家法律法规、监管政策规定发生变化，产品管理人有权在法律规定的范围内对本理财产品销售文件进行修订。产品管理人决定对本理财产品销售文件进行修订的，将按照本理财产品销售文件信息披露部分的约定向投资者进行信息披露。如有对于投资者利益产生实质影响的事项（如投资范围、投资品种、投资比例进行调整，增加费用项目、提高收费标准等），投资者不同意补充或者修改后的理财产品销售文件，可在合理时间内赎回本理财产品，在合理时间内未赎回的视为同意相关调整。</w:t>
      </w:r>
    </w:p>
    <w:p w14:paraId="51CA7D43">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b/>
          <w:bCs/>
          <w:kern w:val="2"/>
          <w:sz w:val="24"/>
          <w:szCs w:val="24"/>
          <w:highlight w:val="none"/>
          <w:lang w:val="en-US" w:eastAsia="zh-CN" w:bidi="ar-SA"/>
        </w:rPr>
        <w:t>（十六）拟投资市场和资产的风险：</w:t>
      </w:r>
      <w:r>
        <w:rPr>
          <w:rFonts w:hint="eastAsia" w:ascii="楷体_GB2312" w:hAnsi="楷体" w:eastAsia="楷体_GB2312" w:cs="Times New Roman"/>
          <w:kern w:val="2"/>
          <w:sz w:val="24"/>
          <w:szCs w:val="24"/>
          <w:highlight w:val="none"/>
          <w:lang w:val="en-US" w:eastAsia="zh-CN" w:bidi="ar-SA"/>
        </w:rPr>
        <w:t>本理财产品拟投资于境内外市场发行的固定收益类资产，投资者可能面临的风险如下：</w:t>
      </w:r>
    </w:p>
    <w:p w14:paraId="78205F4F">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1.投资于货币市场工具的可能风险：（1）本理财产品作为资金借出方参与货币市场工具交易时，交易对手可能无法及时偿还全部或部分本金和/或收益，导致本理财产品收益下降甚至本金损失；（2）本理财产品作为资金借入方参与货币市场工具交易时，交易利率可能大于债券投资收益，进而导致本理财产品收益下降甚至本金损失；（3）本理财产品作为资金借入方参与货币市场工具交易，将增大产品投资总量，放大投资组合风险。资金借入比例越高，风险暴露程度越高，本理财产品收益下降甚至本金损失的可能性越大。</w:t>
      </w:r>
    </w:p>
    <w:p w14:paraId="519AEB47">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2.投资于债券的可能风险：（1）国家政策、经济周期、利率、汇率等因素可能发生的变化导致的市场风险；（2）债券发行人的经营状况、信用质量降低等可能发生的变化导致的信用风险。</w:t>
      </w:r>
    </w:p>
    <w:p w14:paraId="474EDB2F">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3.投资于资产支持证券的可能风险：（1）资产支持证券项下的基础资产现金流可能未能及时完整取得导致的信用风险；（2）资产支持证券可能的市场成交量不足、缺乏意愿交易对手导致的流动性风险等。</w:t>
      </w:r>
    </w:p>
    <w:p w14:paraId="1772801B">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楷体_GB2312" w:hAnsi="楷体" w:eastAsia="楷体_GB2312" w:cs="Times New Roman"/>
          <w:kern w:val="2"/>
          <w:sz w:val="24"/>
          <w:szCs w:val="24"/>
          <w:highlight w:val="none"/>
          <w:lang w:val="en-US" w:eastAsia="zh-CN" w:bidi="ar-SA"/>
        </w:rPr>
      </w:pPr>
      <w:r>
        <w:rPr>
          <w:rFonts w:hint="eastAsia" w:ascii="楷体_GB2312" w:hAnsi="楷体" w:eastAsia="楷体_GB2312" w:cs="Times New Roman"/>
          <w:kern w:val="2"/>
          <w:sz w:val="24"/>
          <w:szCs w:val="24"/>
          <w:highlight w:val="none"/>
          <w:lang w:val="en-US" w:eastAsia="zh-CN" w:bidi="ar-SA"/>
        </w:rPr>
        <w:t>4.投资于非标准化债权类资产的可能风险：（1）资产选择风险：在标的资产选择及投资时，受制于产品管理人的管理能力，可能因标的资产选择失败而直接影响标的资产投资收益甚至发生投资失败的风险，则投资者可能面临本金和收益遭受部分甚至全部损失的风险；（2）资产经营风险：本理财产品投资的标的资产可能由于经济周期、行业竞争、市场前景、管理能力、盈利模式、财务状况等变化发生经营不善，甚至可能发生资不抵债、破产清算、被兼并收购等状况，则投资者可能面临本金和收益遭受部分甚至全部损失的风险。</w:t>
      </w:r>
    </w:p>
    <w:p w14:paraId="2AD7F007">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ascii="楷体_GB2312" w:hAnsi="楷体" w:eastAsia="楷体_GB2312"/>
          <w:b/>
          <w:bCs/>
          <w:sz w:val="24"/>
          <w:highlight w:val="none"/>
        </w:rPr>
      </w:pPr>
      <w:r>
        <w:rPr>
          <w:rFonts w:hint="eastAsia" w:ascii="楷体_GB2312" w:hAnsi="楷体" w:eastAsia="楷体_GB2312"/>
          <w:b/>
          <w:bCs/>
          <w:sz w:val="24"/>
          <w:highlight w:val="none"/>
        </w:rPr>
        <w:t>★二、投资者提示</w:t>
      </w:r>
    </w:p>
    <w:p w14:paraId="48CB66DD">
      <w:pPr>
        <w:ind w:firstLine="482" w:firstLineChars="200"/>
        <w:rPr>
          <w:rFonts w:hint="eastAsia" w:ascii="楷体_GB2312" w:hAnsi="楷体" w:eastAsia="楷体_GB2312" w:cs="Times New Roman"/>
          <w:b/>
          <w:bCs/>
          <w:sz w:val="24"/>
          <w:szCs w:val="24"/>
          <w:highlight w:val="none"/>
          <w:lang w:eastAsia="zh-CN"/>
        </w:rPr>
      </w:pPr>
      <w:r>
        <w:rPr>
          <w:rFonts w:hint="eastAsia" w:ascii="楷体_GB2312" w:hAnsi="楷体" w:eastAsia="楷体_GB2312" w:cs="Times New Roman"/>
          <w:b/>
          <w:bCs/>
          <w:sz w:val="24"/>
          <w:szCs w:val="24"/>
          <w:highlight w:val="none"/>
        </w:rPr>
        <w:t>（一）理财非存款、产品有风险、投资须谨慎</w:t>
      </w:r>
      <w:r>
        <w:rPr>
          <w:rFonts w:hint="eastAsia" w:ascii="楷体_GB2312" w:hAnsi="楷体" w:eastAsia="楷体_GB2312" w:cs="Times New Roman"/>
          <w:b/>
          <w:bCs/>
          <w:sz w:val="24"/>
          <w:szCs w:val="24"/>
          <w:highlight w:val="none"/>
          <w:lang w:eastAsia="zh-CN"/>
        </w:rPr>
        <w:t>！</w:t>
      </w:r>
    </w:p>
    <w:p w14:paraId="7AC58AA3">
      <w:p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rPr>
        <w:t>（二）</w:t>
      </w:r>
      <w:r>
        <w:rPr>
          <w:rFonts w:hint="eastAsia" w:ascii="楷体_GB2312" w:hAnsi="楷体" w:eastAsia="楷体_GB2312"/>
          <w:b/>
          <w:bCs/>
          <w:sz w:val="24"/>
          <w:highlight w:val="none"/>
          <w:lang w:val="en-US" w:eastAsia="zh-CN"/>
        </w:rPr>
        <w:t>本</w:t>
      </w:r>
      <w:r>
        <w:rPr>
          <w:rFonts w:hint="eastAsia" w:ascii="楷体_GB2312" w:hAnsi="楷体" w:eastAsia="楷体_GB2312"/>
          <w:b/>
          <w:bCs/>
          <w:sz w:val="24"/>
          <w:highlight w:val="none"/>
        </w:rPr>
        <w:t>理财产品过往业绩不代表其未来表现，不等于</w:t>
      </w:r>
      <w:r>
        <w:rPr>
          <w:rFonts w:hint="eastAsia" w:ascii="楷体_GB2312" w:hAnsi="楷体" w:eastAsia="楷体_GB2312"/>
          <w:b/>
          <w:bCs/>
          <w:sz w:val="24"/>
          <w:highlight w:val="none"/>
          <w:lang w:eastAsia="zh-CN"/>
        </w:rPr>
        <w:t>本</w:t>
      </w:r>
      <w:r>
        <w:rPr>
          <w:rFonts w:hint="eastAsia" w:ascii="楷体_GB2312" w:hAnsi="楷体" w:eastAsia="楷体_GB2312"/>
          <w:b/>
          <w:bCs/>
          <w:sz w:val="24"/>
          <w:highlight w:val="none"/>
        </w:rPr>
        <w:t>理财产品实际收益，投资须谨慎。</w:t>
      </w:r>
    </w:p>
    <w:p w14:paraId="099DEC62">
      <w:p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rPr>
        <w:t>（三）如影响您风险承受能力的因素发生变化，请及时完成风险承受能力评估。</w:t>
      </w:r>
    </w:p>
    <w:p w14:paraId="5598EBCF">
      <w:pPr>
        <w:ind w:firstLine="482" w:firstLineChars="200"/>
        <w:rPr>
          <w:rFonts w:ascii="楷体_GB2312" w:hAnsi="楷体" w:eastAsia="楷体_GB2312"/>
          <w:b w:val="0"/>
          <w:bCs w:val="0"/>
          <w:sz w:val="24"/>
          <w:highlight w:val="none"/>
        </w:rPr>
      </w:pPr>
      <w:r>
        <w:rPr>
          <w:rFonts w:hint="eastAsia" w:ascii="楷体_GB2312" w:hAnsi="楷体" w:eastAsia="楷体_GB2312"/>
          <w:b/>
          <w:bCs/>
          <w:sz w:val="24"/>
          <w:highlight w:val="none"/>
        </w:rPr>
        <w:t>★（四）</w:t>
      </w:r>
      <w:r>
        <w:rPr>
          <w:rFonts w:ascii="楷体_GB2312" w:hAnsi="楷体" w:eastAsia="楷体_GB2312"/>
          <w:b w:val="0"/>
          <w:bCs w:val="0"/>
          <w:sz w:val="24"/>
          <w:highlight w:val="none"/>
        </w:rPr>
        <w:t>本</w:t>
      </w:r>
      <w:r>
        <w:rPr>
          <w:rFonts w:hint="eastAsia" w:ascii="楷体_GB2312" w:hAnsi="楷体" w:eastAsia="楷体_GB2312"/>
          <w:b w:val="0"/>
          <w:bCs w:val="0"/>
          <w:sz w:val="24"/>
          <w:highlight w:val="none"/>
          <w:lang w:val="en-US" w:eastAsia="zh-CN"/>
        </w:rPr>
        <w:t>理财</w:t>
      </w:r>
      <w:r>
        <w:rPr>
          <w:rFonts w:ascii="楷体_GB2312" w:hAnsi="楷体" w:eastAsia="楷体_GB2312"/>
          <w:b w:val="0"/>
          <w:bCs w:val="0"/>
          <w:sz w:val="24"/>
          <w:highlight w:val="none"/>
        </w:rPr>
        <w:t>产品</w:t>
      </w:r>
      <w:r>
        <w:rPr>
          <w:rFonts w:hint="eastAsia" w:ascii="楷体_GB2312" w:hAnsi="楷体" w:eastAsia="楷体_GB2312"/>
          <w:b w:val="0"/>
          <w:bCs w:val="0"/>
          <w:sz w:val="24"/>
          <w:highlight w:val="none"/>
        </w:rPr>
        <w:t>类型</w:t>
      </w:r>
      <w:r>
        <w:rPr>
          <w:rFonts w:ascii="楷体_GB2312" w:hAnsi="楷体" w:eastAsia="楷体_GB2312"/>
          <w:b w:val="0"/>
          <w:bCs w:val="0"/>
          <w:sz w:val="24"/>
          <w:highlight w:val="none"/>
        </w:rPr>
        <w:t>为</w:t>
      </w:r>
      <w:r>
        <w:rPr>
          <w:rFonts w:hint="eastAsia" w:ascii="楷体_GB2312" w:hAnsi="楷体" w:eastAsia="楷体_GB2312" w:cs="Times New Roman"/>
          <w:b w:val="0"/>
          <w:bCs w:val="0"/>
          <w:sz w:val="24"/>
          <w:highlight w:val="none"/>
          <w:lang w:val="en-US" w:eastAsia="zh-CN"/>
        </w:rPr>
        <w:t>固定收益类</w:t>
      </w:r>
      <w:r>
        <w:rPr>
          <w:rFonts w:hint="eastAsia" w:ascii="楷体_GB2312" w:hAnsi="楷体" w:eastAsia="楷体_GB2312"/>
          <w:b w:val="0"/>
          <w:bCs w:val="0"/>
          <w:color w:val="auto"/>
          <w:sz w:val="24"/>
          <w:highlight w:val="none"/>
          <w:lang w:val="en-US" w:eastAsia="zh-CN"/>
        </w:rPr>
        <w:t>理财产品</w:t>
      </w:r>
      <w:r>
        <w:rPr>
          <w:rFonts w:hint="eastAsia" w:ascii="楷体_GB2312" w:hAnsi="楷体" w:eastAsia="楷体_GB2312"/>
          <w:b/>
          <w:bCs/>
          <w:color w:val="auto"/>
          <w:sz w:val="24"/>
          <w:highlight w:val="none"/>
          <w:lang w:eastAsia="zh-Hans"/>
        </w:rPr>
        <w:t>（</w:t>
      </w:r>
      <w:r>
        <w:rPr>
          <w:rFonts w:hint="eastAsia" w:ascii="楷体_GB2312" w:hAnsi="楷体" w:eastAsia="楷体_GB2312"/>
          <w:b/>
          <w:bCs/>
          <w:color w:val="auto"/>
          <w:sz w:val="24"/>
          <w:highlight w:val="none"/>
          <w:lang w:val="en-US" w:eastAsia="zh-CN"/>
        </w:rPr>
        <w:t>固定收益类理财</w:t>
      </w:r>
      <w:r>
        <w:rPr>
          <w:rFonts w:hint="eastAsia" w:ascii="楷体_GB2312" w:hAnsi="楷体" w:eastAsia="楷体_GB2312"/>
          <w:b/>
          <w:bCs/>
          <w:color w:val="auto"/>
          <w:sz w:val="24"/>
          <w:highlight w:val="none"/>
          <w:lang w:eastAsia="zh-Hans"/>
        </w:rPr>
        <w:t>产品为根据监管要求进行的</w:t>
      </w:r>
      <w:r>
        <w:rPr>
          <w:rFonts w:hint="eastAsia" w:ascii="楷体_GB2312" w:hAnsi="楷体" w:eastAsia="楷体_GB2312"/>
          <w:b/>
          <w:bCs/>
          <w:color w:val="auto"/>
          <w:sz w:val="24"/>
          <w:highlight w:val="none"/>
          <w:lang w:val="en-US" w:eastAsia="zh-CN"/>
        </w:rPr>
        <w:t>理财</w:t>
      </w:r>
      <w:r>
        <w:rPr>
          <w:rFonts w:hint="eastAsia" w:ascii="楷体_GB2312" w:hAnsi="楷体" w:eastAsia="楷体_GB2312"/>
          <w:b/>
          <w:bCs/>
          <w:color w:val="auto"/>
          <w:sz w:val="24"/>
          <w:highlight w:val="none"/>
          <w:lang w:eastAsia="zh-Hans"/>
        </w:rPr>
        <w:t>产品分类，并不意味着</w:t>
      </w:r>
      <w:r>
        <w:rPr>
          <w:rFonts w:hint="eastAsia" w:ascii="楷体_GB2312" w:hAnsi="楷体" w:eastAsia="楷体_GB2312"/>
          <w:b/>
          <w:bCs/>
          <w:color w:val="auto"/>
          <w:sz w:val="24"/>
          <w:highlight w:val="none"/>
          <w:lang w:eastAsia="zh-CN"/>
        </w:rPr>
        <w:t>产品管理人</w:t>
      </w:r>
      <w:r>
        <w:rPr>
          <w:rFonts w:hint="eastAsia" w:ascii="楷体_GB2312" w:hAnsi="楷体" w:eastAsia="楷体_GB2312"/>
          <w:b/>
          <w:bCs/>
          <w:color w:val="auto"/>
          <w:sz w:val="24"/>
          <w:highlight w:val="none"/>
          <w:lang w:eastAsia="zh-Hans"/>
        </w:rPr>
        <w:t>对</w:t>
      </w:r>
      <w:r>
        <w:rPr>
          <w:rFonts w:hint="eastAsia" w:ascii="楷体_GB2312" w:hAnsi="楷体" w:eastAsia="楷体_GB2312"/>
          <w:b/>
          <w:bCs/>
          <w:color w:val="auto"/>
          <w:sz w:val="24"/>
          <w:highlight w:val="none"/>
          <w:lang w:eastAsia="zh-CN"/>
        </w:rPr>
        <w:t>本理财产品</w:t>
      </w:r>
      <w:r>
        <w:rPr>
          <w:rFonts w:hint="eastAsia" w:ascii="楷体_GB2312" w:hAnsi="楷体" w:eastAsia="楷体_GB2312"/>
          <w:b/>
          <w:bCs/>
          <w:color w:val="auto"/>
          <w:sz w:val="24"/>
          <w:highlight w:val="none"/>
          <w:lang w:eastAsia="zh-Hans"/>
        </w:rPr>
        <w:t>的任何收益承诺或者保证）</w:t>
      </w:r>
      <w:r>
        <w:rPr>
          <w:rFonts w:hint="eastAsia" w:ascii="楷体_GB2312" w:hAnsi="楷体" w:eastAsia="楷体_GB2312"/>
          <w:b/>
          <w:bCs/>
          <w:color w:val="auto"/>
          <w:sz w:val="24"/>
          <w:highlight w:val="none"/>
          <w:lang w:eastAsia="zh-CN"/>
        </w:rPr>
        <w:t>、</w:t>
      </w:r>
      <w:r>
        <w:rPr>
          <w:rFonts w:hint="eastAsia" w:ascii="楷体_GB2312" w:hAnsi="楷体" w:eastAsia="楷体_GB2312"/>
          <w:b w:val="0"/>
          <w:bCs w:val="0"/>
          <w:color w:val="auto"/>
          <w:sz w:val="24"/>
          <w:highlight w:val="none"/>
          <w:lang w:val="en-US" w:eastAsia="zh-CN"/>
        </w:rPr>
        <w:t>非保本浮动收益型理财产品。</w:t>
      </w:r>
      <w:r>
        <w:rPr>
          <w:rFonts w:ascii="楷体_GB2312" w:hAnsi="楷体" w:eastAsia="楷体_GB2312"/>
          <w:color w:val="auto"/>
          <w:sz w:val="24"/>
          <w:highlight w:val="none"/>
        </w:rPr>
        <w:t>本</w:t>
      </w:r>
      <w:r>
        <w:rPr>
          <w:rFonts w:hint="eastAsia" w:ascii="楷体_GB2312" w:hAnsi="楷体" w:eastAsia="楷体_GB2312"/>
          <w:color w:val="auto"/>
          <w:sz w:val="24"/>
          <w:highlight w:val="none"/>
          <w:lang w:val="en-US" w:eastAsia="zh-CN"/>
        </w:rPr>
        <w:t>理财</w:t>
      </w:r>
      <w:r>
        <w:rPr>
          <w:rFonts w:ascii="楷体_GB2312" w:hAnsi="楷体" w:eastAsia="楷体_GB2312"/>
          <w:color w:val="auto"/>
          <w:sz w:val="24"/>
          <w:highlight w:val="none"/>
        </w:rPr>
        <w:t>产品</w:t>
      </w:r>
      <w:r>
        <w:rPr>
          <w:rFonts w:hint="eastAsia" w:ascii="楷体_GB2312" w:hAnsi="楷体" w:eastAsia="楷体_GB2312"/>
          <w:color w:val="auto"/>
          <w:sz w:val="24"/>
          <w:highlight w:val="none"/>
          <w:lang w:val="en-US" w:eastAsia="zh-CN"/>
        </w:rPr>
        <w:t>存续</w:t>
      </w:r>
      <w:r>
        <w:rPr>
          <w:rFonts w:ascii="楷体_GB2312" w:hAnsi="楷体" w:eastAsia="楷体_GB2312"/>
          <w:color w:val="auto"/>
          <w:sz w:val="24"/>
          <w:highlight w:val="none"/>
        </w:rPr>
        <w:t>期限为</w:t>
      </w:r>
      <w:r>
        <w:rPr>
          <w:rFonts w:hint="eastAsia" w:ascii="楷体_GB2312" w:hAnsi="楷体" w:eastAsia="楷体_GB2312"/>
          <w:color w:val="auto"/>
          <w:sz w:val="24"/>
          <w:highlight w:val="none"/>
          <w:lang w:val="en-US" w:eastAsia="zh-CN"/>
        </w:rPr>
        <w:t>194天</w:t>
      </w:r>
      <w:r>
        <w:rPr>
          <w:rFonts w:hint="eastAsia" w:ascii="楷体_GB2312" w:hAnsi="楷体" w:eastAsia="楷体_GB2312"/>
          <w:color w:val="auto"/>
          <w:sz w:val="24"/>
          <w:highlight w:val="none"/>
          <w:lang w:eastAsia="zh-CN"/>
        </w:rPr>
        <w:t>，</w:t>
      </w:r>
      <w:r>
        <w:rPr>
          <w:rFonts w:hint="eastAsia" w:ascii="楷体_GB2312" w:hAnsi="楷体" w:eastAsia="楷体_GB2312"/>
          <w:color w:val="auto"/>
          <w:sz w:val="24"/>
          <w:highlight w:val="none"/>
        </w:rPr>
        <w:t>到期日为</w:t>
      </w:r>
      <w:r>
        <w:rPr>
          <w:rFonts w:hint="eastAsia" w:ascii="楷体_GB2312" w:hAnsi="楷体" w:eastAsia="楷体_GB2312"/>
          <w:color w:val="auto"/>
          <w:sz w:val="24"/>
          <w:highlight w:val="none"/>
          <w:lang w:val="en-US" w:eastAsia="zh-CN"/>
        </w:rPr>
        <w:t>2026年10月20日</w:t>
      </w:r>
      <w:r>
        <w:rPr>
          <w:rFonts w:hint="eastAsia" w:ascii="楷体_GB2312" w:hAnsi="楷体" w:eastAsia="楷体_GB2312"/>
          <w:color w:val="auto"/>
          <w:sz w:val="24"/>
          <w:highlight w:val="none"/>
        </w:rPr>
        <w:t>（如该到期日为</w:t>
      </w:r>
      <w:r>
        <w:rPr>
          <w:rFonts w:hint="eastAsia" w:ascii="楷体_GB2312" w:hAnsi="楷体" w:eastAsia="楷体_GB2312"/>
          <w:color w:val="auto"/>
          <w:sz w:val="24"/>
          <w:highlight w:val="none"/>
          <w:lang w:val="en-US" w:eastAsia="zh-CN"/>
        </w:rPr>
        <w:t>节假日</w:t>
      </w:r>
      <w:r>
        <w:rPr>
          <w:rFonts w:hint="eastAsia" w:ascii="楷体_GB2312" w:hAnsi="楷体" w:eastAsia="楷体_GB2312"/>
          <w:color w:val="auto"/>
          <w:sz w:val="24"/>
          <w:highlight w:val="none"/>
        </w:rPr>
        <w:t>则相应顺延至下一个</w:t>
      </w:r>
      <w:r>
        <w:rPr>
          <w:rFonts w:hint="eastAsia" w:ascii="楷体_GB2312" w:hAnsi="楷体" w:eastAsia="楷体_GB2312"/>
          <w:color w:val="auto"/>
          <w:sz w:val="24"/>
          <w:highlight w:val="none"/>
          <w:lang w:val="en-US" w:eastAsia="zh-CN"/>
        </w:rPr>
        <w:t>工作</w:t>
      </w:r>
      <w:r>
        <w:rPr>
          <w:rFonts w:hint="eastAsia" w:ascii="楷体_GB2312" w:hAnsi="楷体" w:eastAsia="楷体_GB2312"/>
          <w:color w:val="auto"/>
          <w:sz w:val="24"/>
          <w:highlight w:val="none"/>
        </w:rPr>
        <w:t>日）</w:t>
      </w:r>
      <w:r>
        <w:rPr>
          <w:rFonts w:ascii="楷体_GB2312" w:hAnsi="楷体" w:eastAsia="楷体_GB2312"/>
          <w:color w:val="auto"/>
          <w:sz w:val="24"/>
          <w:highlight w:val="none"/>
        </w:rPr>
        <w:t>(受提前终止等</w:t>
      </w:r>
      <w:r>
        <w:rPr>
          <w:rFonts w:hint="eastAsia" w:ascii="楷体_GB2312" w:hAnsi="楷体" w:eastAsia="楷体_GB2312"/>
          <w:color w:val="auto"/>
          <w:sz w:val="24"/>
          <w:highlight w:val="none"/>
          <w:lang w:val="en-US" w:eastAsia="zh-CN"/>
        </w:rPr>
        <w:t>本</w:t>
      </w:r>
      <w:r>
        <w:rPr>
          <w:rFonts w:ascii="楷体_GB2312" w:hAnsi="楷体" w:eastAsia="楷体_GB2312"/>
          <w:color w:val="auto"/>
          <w:sz w:val="24"/>
          <w:highlight w:val="none"/>
        </w:rPr>
        <w:t>理财</w:t>
      </w:r>
      <w:r>
        <w:rPr>
          <w:rFonts w:hint="eastAsia" w:ascii="楷体_GB2312" w:hAnsi="楷体" w:eastAsia="楷体_GB2312"/>
          <w:color w:val="auto"/>
          <w:sz w:val="24"/>
          <w:highlight w:val="none"/>
          <w:lang w:val="en-US" w:eastAsia="zh-CN"/>
        </w:rPr>
        <w:t>产品销售文件</w:t>
      </w:r>
      <w:r>
        <w:rPr>
          <w:rFonts w:ascii="楷体_GB2312" w:hAnsi="楷体" w:eastAsia="楷体_GB2312"/>
          <w:color w:val="auto"/>
          <w:sz w:val="24"/>
          <w:highlight w:val="none"/>
        </w:rPr>
        <w:t>相关条款和内容的约束)。</w:t>
      </w:r>
    </w:p>
    <w:p w14:paraId="2629198C">
      <w:pPr>
        <w:ind w:firstLine="480" w:firstLineChars="200"/>
        <w:rPr>
          <w:rFonts w:hint="eastAsia" w:ascii="楷体_GB2312" w:hAnsi="楷体" w:eastAsia="楷体_GB2312" w:cs="Times New Roman"/>
          <w:sz w:val="24"/>
          <w:highlight w:val="none"/>
          <w:lang w:val="en-US" w:eastAsia="zh-CN"/>
        </w:rPr>
      </w:pPr>
      <w:r>
        <w:rPr>
          <w:rFonts w:hint="eastAsia" w:ascii="楷体_GB2312" w:hAnsi="楷体" w:eastAsia="楷体_GB2312"/>
          <w:sz w:val="24"/>
          <w:highlight w:val="none"/>
        </w:rPr>
        <w:t>（五）</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rPr>
        <w:t>对</w:t>
      </w:r>
      <w:r>
        <w:rPr>
          <w:rFonts w:hint="eastAsia" w:ascii="楷体_GB2312" w:hAnsi="楷体" w:eastAsia="楷体_GB2312"/>
          <w:sz w:val="24"/>
          <w:highlight w:val="none"/>
          <w:lang w:eastAsia="zh-CN"/>
        </w:rPr>
        <w:t>本理财产</w:t>
      </w:r>
      <w:r>
        <w:rPr>
          <w:rFonts w:hint="eastAsia" w:ascii="楷体_GB2312" w:hAnsi="楷体" w:eastAsia="楷体_GB2312" w:cs="Times New Roman"/>
          <w:sz w:val="24"/>
          <w:highlight w:val="none"/>
          <w:lang w:eastAsia="zh-CN"/>
        </w:rPr>
        <w:t>品</w:t>
      </w:r>
      <w:r>
        <w:rPr>
          <w:rFonts w:hint="eastAsia" w:ascii="楷体_GB2312" w:hAnsi="楷体" w:eastAsia="楷体_GB2312" w:cs="Times New Roman"/>
          <w:sz w:val="24"/>
          <w:highlight w:val="none"/>
          <w:lang w:val="en-US" w:eastAsia="zh-CN"/>
        </w:rPr>
        <w:t>的内部</w:t>
      </w:r>
      <w:r>
        <w:rPr>
          <w:rFonts w:hint="eastAsia" w:ascii="楷体_GB2312" w:hAnsi="楷体" w:eastAsia="楷体_GB2312" w:cs="Times New Roman"/>
          <w:sz w:val="24"/>
          <w:highlight w:val="none"/>
          <w:lang w:eastAsia="zh-CN"/>
        </w:rPr>
        <w:t>风险评级为</w:t>
      </w:r>
      <w:r>
        <w:rPr>
          <w:rFonts w:ascii="楷体_GB2312" w:eastAsia="楷体_GB2312"/>
          <w:color w:val="000000"/>
          <w:sz w:val="24"/>
        </w:rPr>
        <w:t>较低风险</w:t>
      </w:r>
      <w:r>
        <w:rPr>
          <w:rFonts w:hint="eastAsia" w:ascii="楷体_GB2312" w:eastAsia="楷体_GB2312"/>
          <w:color w:val="000000"/>
          <w:sz w:val="24"/>
        </w:rPr>
        <w:t>产品（PR2）</w:t>
      </w:r>
      <w:r>
        <w:rPr>
          <w:rFonts w:hint="eastAsia" w:ascii="楷体_GB2312" w:hAnsi="楷体" w:eastAsia="楷体_GB2312" w:cs="Times New Roman"/>
          <w:sz w:val="24"/>
          <w:highlight w:val="none"/>
          <w:lang w:eastAsia="zh-CN"/>
        </w:rPr>
        <w:t>。</w:t>
      </w:r>
      <w:r>
        <w:rPr>
          <w:rFonts w:hint="default" w:ascii="楷体_GB2312" w:hAnsi="楷体" w:eastAsia="楷体_GB2312" w:cs="Times New Roman"/>
          <w:color w:val="auto"/>
          <w:sz w:val="24"/>
          <w:szCs w:val="24"/>
          <w:highlight w:val="none"/>
        </w:rPr>
        <w:t>根据北银理财内部产品风险评级说明，</w:t>
      </w:r>
      <w:r>
        <w:rPr>
          <w:rFonts w:hint="default" w:ascii="楷体_GB2312" w:hAnsi="Times New Roman" w:eastAsia="楷体_GB2312" w:cs="Times New Roman"/>
          <w:color w:val="000000"/>
          <w:kern w:val="2"/>
          <w:sz w:val="24"/>
          <w:szCs w:val="24"/>
          <w:highlight w:val="none"/>
        </w:rPr>
        <w:t>理财产品的总体风险较低，净值波动较小</w:t>
      </w:r>
      <w:r>
        <w:rPr>
          <w:rFonts w:hint="default" w:ascii="楷体_GB2312" w:hAnsi="Times New Roman" w:eastAsia="楷体_GB2312" w:cs="Times New Roman"/>
          <w:color w:val="000000"/>
          <w:kern w:val="2"/>
          <w:sz w:val="24"/>
          <w:szCs w:val="24"/>
          <w:highlight w:val="none"/>
          <w:lang w:eastAsia="zh-CN"/>
        </w:rPr>
        <w:t>，</w:t>
      </w:r>
      <w:r>
        <w:rPr>
          <w:rFonts w:hint="default" w:ascii="楷体_GB2312" w:hAnsi="Times New Roman" w:eastAsia="楷体_GB2312" w:cs="Times New Roman"/>
          <w:color w:val="000000"/>
          <w:kern w:val="2"/>
          <w:sz w:val="24"/>
          <w:szCs w:val="24"/>
          <w:highlight w:val="none"/>
          <w:lang w:val="en-US" w:eastAsia="zh-CN"/>
        </w:rPr>
        <w:t>理财投资</w:t>
      </w:r>
      <w:r>
        <w:rPr>
          <w:rFonts w:hint="default" w:ascii="楷体_GB2312" w:hAnsi="Times New Roman" w:eastAsia="楷体_GB2312" w:cs="Times New Roman"/>
          <w:color w:val="000000"/>
          <w:kern w:val="2"/>
          <w:sz w:val="24"/>
          <w:szCs w:val="24"/>
          <w:highlight w:val="none"/>
        </w:rPr>
        <w:t>本金</w:t>
      </w:r>
      <w:r>
        <w:rPr>
          <w:rFonts w:hint="default" w:ascii="楷体_GB2312" w:hAnsi="Times New Roman" w:eastAsia="楷体_GB2312" w:cs="Times New Roman"/>
          <w:color w:val="000000"/>
          <w:kern w:val="2"/>
          <w:sz w:val="24"/>
          <w:szCs w:val="24"/>
          <w:highlight w:val="none"/>
          <w:lang w:val="en-US" w:eastAsia="zh-CN"/>
        </w:rPr>
        <w:t>遭受</w:t>
      </w:r>
      <w:r>
        <w:rPr>
          <w:rFonts w:hint="default" w:ascii="楷体_GB2312" w:hAnsi="Times New Roman" w:eastAsia="楷体_GB2312" w:cs="Times New Roman"/>
          <w:color w:val="000000"/>
          <w:kern w:val="2"/>
          <w:sz w:val="24"/>
          <w:szCs w:val="24"/>
          <w:highlight w:val="none"/>
        </w:rPr>
        <w:t>损失的可能性较低。</w:t>
      </w:r>
    </w:p>
    <w:p w14:paraId="48B548EE">
      <w:pPr>
        <w:ind w:firstLine="482" w:firstLineChars="200"/>
        <w:rPr>
          <w:rFonts w:hint="eastAsia" w:ascii="楷体_GB2312" w:hAnsi="楷体" w:eastAsia="楷体_GB2312" w:cs="Times New Roman"/>
          <w:sz w:val="24"/>
          <w:highlight w:val="none"/>
          <w:lang w:val="en-US" w:eastAsia="zh-CN"/>
        </w:rPr>
      </w:pPr>
      <w:r>
        <w:rPr>
          <w:rFonts w:hint="eastAsia" w:ascii="楷体_GB2312" w:hAnsi="楷体" w:eastAsia="楷体_GB2312"/>
          <w:b/>
          <w:bCs/>
          <w:sz w:val="24"/>
          <w:highlight w:val="none"/>
        </w:rPr>
        <w:t>★</w:t>
      </w:r>
      <w:r>
        <w:rPr>
          <w:rFonts w:hint="eastAsia" w:ascii="楷体_GB2312" w:hAnsi="楷体" w:eastAsia="楷体_GB2312" w:cs="Times New Roman"/>
          <w:b/>
          <w:bCs/>
          <w:sz w:val="24"/>
          <w:highlight w:val="none"/>
          <w:lang w:val="en-US" w:eastAsia="zh-CN"/>
        </w:rPr>
        <w:t>本理财产品通过代理销售机构渠道销售的，理财产品评级应当以代理销售机构最终披露的评级结果为准。</w:t>
      </w:r>
    </w:p>
    <w:p w14:paraId="5810A292">
      <w:pPr>
        <w:numPr>
          <w:ilvl w:val="0"/>
          <w:numId w:val="1"/>
        </w:numPr>
        <w:ind w:left="-60" w:leftChars="0" w:firstLine="480" w:firstLineChars="0"/>
        <w:rPr>
          <w:rFonts w:hint="eastAsia" w:ascii="楷体_GB2312" w:hAnsi="楷体" w:eastAsia="楷体_GB2312"/>
          <w:b w:val="0"/>
          <w:bCs w:val="0"/>
          <w:sz w:val="24"/>
          <w:highlight w:val="none"/>
        </w:rPr>
      </w:pPr>
      <w:r>
        <w:rPr>
          <w:rFonts w:hint="eastAsia" w:ascii="楷体_GB2312" w:hAnsi="楷体" w:eastAsia="楷体_GB2312" w:cs="Times New Roman"/>
          <w:b w:val="0"/>
          <w:bCs w:val="0"/>
          <w:sz w:val="24"/>
          <w:highlight w:val="none"/>
          <w:lang w:val="en-US" w:eastAsia="zh-CN"/>
        </w:rPr>
        <w:t>经代销机构</w:t>
      </w:r>
      <w:r>
        <w:rPr>
          <w:rFonts w:hint="default" w:ascii="楷体_GB2312" w:hAnsi="楷体" w:eastAsia="楷体_GB2312" w:cs="Times New Roman"/>
          <w:b w:val="0"/>
          <w:bCs w:val="0"/>
          <w:color w:val="auto"/>
          <w:kern w:val="2"/>
          <w:sz w:val="24"/>
          <w:highlight w:val="none"/>
        </w:rPr>
        <w:t>风险承受能力</w:t>
      </w:r>
      <w:r>
        <w:rPr>
          <w:rFonts w:hint="eastAsia" w:ascii="楷体_GB2312" w:hAnsi="楷体" w:eastAsia="楷体_GB2312" w:cs="Times New Roman"/>
          <w:b w:val="0"/>
          <w:bCs w:val="0"/>
          <w:sz w:val="24"/>
          <w:highlight w:val="none"/>
          <w:lang w:val="en-US" w:eastAsia="zh-CN"/>
        </w:rPr>
        <w:t>评估，</w:t>
      </w:r>
      <w:r>
        <w:rPr>
          <w:rFonts w:hint="eastAsia" w:ascii="楷体_GB2312" w:hAnsi="楷体" w:eastAsia="楷体_GB2312" w:cs="Times New Roman"/>
          <w:sz w:val="24"/>
          <w:szCs w:val="24"/>
          <w:highlight w:val="none"/>
        </w:rPr>
        <w:t>适合购买本理财产品的投资者为</w:t>
      </w:r>
      <w:r>
        <w:rPr>
          <w:rFonts w:hint="eastAsia" w:ascii="楷体_GB2312" w:hAnsi="楷体" w:eastAsia="楷体_GB2312" w:cs="Times New Roman"/>
          <w:b w:val="0"/>
          <w:bCs w:val="0"/>
          <w:sz w:val="24"/>
          <w:highlight w:val="none"/>
          <w:lang w:val="en-US" w:eastAsia="zh-CN"/>
        </w:rPr>
        <w:t>稳健型、平衡型、进取型、激进型（</w:t>
      </w:r>
      <w:r>
        <w:rPr>
          <w:rFonts w:hint="eastAsia" w:ascii="楷体_GB2312" w:hAnsi="楷体" w:eastAsia="楷体_GB2312"/>
          <w:b w:val="0"/>
          <w:bCs w:val="0"/>
          <w:sz w:val="24"/>
          <w:highlight w:val="none"/>
          <w:lang w:val="en-US" w:eastAsia="zh-CN"/>
        </w:rPr>
        <w:t>具体表述以代销机构为准</w:t>
      </w:r>
      <w:r>
        <w:rPr>
          <w:rFonts w:hint="eastAsia" w:ascii="楷体_GB2312" w:hAnsi="楷体" w:eastAsia="楷体_GB2312"/>
          <w:b w:val="0"/>
          <w:bCs w:val="0"/>
          <w:sz w:val="24"/>
          <w:highlight w:val="none"/>
          <w:lang w:eastAsia="zh-CN"/>
        </w:rPr>
        <w:t>）</w:t>
      </w:r>
      <w:r>
        <w:rPr>
          <w:rFonts w:hint="eastAsia" w:ascii="楷体_GB2312" w:hAnsi="楷体" w:eastAsia="楷体_GB2312"/>
          <w:b w:val="0"/>
          <w:bCs w:val="0"/>
          <w:sz w:val="24"/>
          <w:highlight w:val="none"/>
        </w:rPr>
        <w:t>的投资者。</w:t>
      </w:r>
    </w:p>
    <w:p w14:paraId="5FE4E7FC">
      <w:pPr>
        <w:numPr>
          <w:ilvl w:val="-1"/>
          <w:numId w:val="0"/>
        </w:numPr>
        <w:spacing w:line="240" w:lineRule="auto"/>
        <w:ind w:left="420" w:firstLine="0" w:firstLineChars="0"/>
        <w:rPr>
          <w:rFonts w:hint="eastAsia" w:ascii="楷体_GB2312" w:hAnsi="楷体" w:eastAsia="楷体_GB2312" w:cs="Times New Roman"/>
          <w:sz w:val="24"/>
          <w:szCs w:val="24"/>
          <w:highlight w:val="none"/>
        </w:rPr>
      </w:pPr>
      <w:r>
        <w:rPr>
          <w:rFonts w:hint="eastAsia" w:ascii="楷体_GB2312" w:hAnsi="楷体" w:eastAsia="楷体_GB2312" w:cs="Times New Roman"/>
          <w:sz w:val="24"/>
          <w:szCs w:val="24"/>
          <w:highlight w:val="none"/>
          <w:lang w:val="en-US" w:eastAsia="zh-CN"/>
        </w:rPr>
        <w:t>专业投资者具体管理要求</w:t>
      </w:r>
      <w:r>
        <w:rPr>
          <w:rFonts w:hint="eastAsia" w:ascii="楷体_GB2312" w:hAnsi="楷体" w:eastAsia="楷体_GB2312" w:cs="Times New Roman"/>
          <w:sz w:val="24"/>
          <w:szCs w:val="24"/>
          <w:highlight w:val="none"/>
        </w:rPr>
        <w:t>以销售机构为准</w:t>
      </w:r>
      <w:r>
        <w:rPr>
          <w:rFonts w:hint="eastAsia" w:ascii="楷体_GB2312" w:hAnsi="楷体" w:eastAsia="楷体_GB2312" w:cs="Times New Roman"/>
          <w:sz w:val="24"/>
          <w:szCs w:val="24"/>
          <w:highlight w:val="none"/>
          <w:lang w:eastAsia="zh-CN"/>
        </w:rPr>
        <w:t>。</w:t>
      </w:r>
    </w:p>
    <w:p w14:paraId="3ED47F1D">
      <w:pPr>
        <w:ind w:firstLine="482" w:firstLineChars="200"/>
        <w:rPr>
          <w:rFonts w:hint="eastAsia" w:ascii="楷体_GB2312" w:hAnsi="楷体" w:eastAsia="楷体_GB2312"/>
          <w:b/>
          <w:sz w:val="24"/>
          <w:highlight w:val="none"/>
          <w:lang w:val="en-US" w:eastAsia="zh-CN"/>
        </w:rPr>
      </w:pPr>
      <w:r>
        <w:rPr>
          <w:rFonts w:hint="eastAsia" w:ascii="楷体_GB2312" w:hAnsi="楷体" w:eastAsia="楷体_GB2312"/>
          <w:b/>
          <w:bCs w:val="0"/>
          <w:sz w:val="24"/>
          <w:highlight w:val="none"/>
          <w:lang w:eastAsia="zh-CN"/>
        </w:rPr>
        <w:t>（</w:t>
      </w:r>
      <w:r>
        <w:rPr>
          <w:rFonts w:hint="eastAsia" w:ascii="楷体_GB2312" w:hAnsi="楷体" w:eastAsia="楷体_GB2312"/>
          <w:b/>
          <w:bCs w:val="0"/>
          <w:sz w:val="24"/>
          <w:highlight w:val="none"/>
          <w:lang w:val="en-US" w:eastAsia="zh-CN"/>
        </w:rPr>
        <w:t>七</w:t>
      </w:r>
      <w:r>
        <w:rPr>
          <w:rFonts w:hint="eastAsia" w:ascii="楷体_GB2312" w:hAnsi="楷体" w:eastAsia="楷体_GB2312"/>
          <w:b/>
          <w:bCs w:val="0"/>
          <w:sz w:val="24"/>
          <w:highlight w:val="none"/>
          <w:lang w:eastAsia="zh-CN"/>
        </w:rPr>
        <w:t>）本</w:t>
      </w:r>
      <w:r>
        <w:rPr>
          <w:rFonts w:hint="eastAsia" w:ascii="楷体_GB2312" w:hAnsi="楷体" w:eastAsia="楷体_GB2312"/>
          <w:b/>
          <w:bCs/>
          <w:sz w:val="24"/>
          <w:highlight w:val="none"/>
          <w:lang w:eastAsia="zh-CN"/>
        </w:rPr>
        <w:t>理财产品</w:t>
      </w:r>
      <w:r>
        <w:rPr>
          <w:rFonts w:hint="eastAsia" w:ascii="楷体_GB2312" w:hAnsi="楷体" w:eastAsia="楷体_GB2312"/>
          <w:b/>
          <w:bCs/>
          <w:sz w:val="24"/>
          <w:highlight w:val="none"/>
        </w:rPr>
        <w:t>不保障本金且不保证收益。</w:t>
      </w:r>
      <w:r>
        <w:rPr>
          <w:rFonts w:hint="eastAsia" w:ascii="楷体_GB2312" w:hAnsi="楷体" w:eastAsia="楷体_GB2312"/>
          <w:b/>
          <w:bCs/>
          <w:sz w:val="24"/>
          <w:highlight w:val="none"/>
          <w:lang w:eastAsia="zh-Hans"/>
        </w:rPr>
        <w:t>您</w:t>
      </w:r>
      <w:r>
        <w:rPr>
          <w:rFonts w:hint="eastAsia" w:ascii="楷体_GB2312" w:hAnsi="楷体" w:eastAsia="楷体_GB2312"/>
          <w:b/>
          <w:bCs/>
          <w:sz w:val="24"/>
          <w:highlight w:val="none"/>
        </w:rPr>
        <w:t>的本金和收益可能因市场变动而蒙受损失，</w:t>
      </w:r>
      <w:r>
        <w:rPr>
          <w:rFonts w:hint="eastAsia" w:ascii="楷体_GB2312" w:hAnsi="楷体" w:eastAsia="楷体_GB2312"/>
          <w:b/>
          <w:sz w:val="24"/>
          <w:highlight w:val="none"/>
        </w:rPr>
        <w:t>在最不利</w:t>
      </w:r>
      <w:r>
        <w:rPr>
          <w:rFonts w:hint="eastAsia" w:ascii="楷体_GB2312" w:hAnsi="楷体" w:eastAsia="楷体_GB2312"/>
          <w:b/>
          <w:bCs/>
          <w:sz w:val="24"/>
          <w:highlight w:val="none"/>
          <w:lang w:val="en-US" w:eastAsia="zh-CN"/>
        </w:rPr>
        <w:t>投资</w:t>
      </w:r>
      <w:r>
        <w:rPr>
          <w:rFonts w:hint="eastAsia" w:ascii="楷体_GB2312" w:hAnsi="楷体" w:eastAsia="楷体_GB2312"/>
          <w:b/>
          <w:bCs/>
          <w:sz w:val="24"/>
          <w:highlight w:val="none"/>
        </w:rPr>
        <w:t>情</w:t>
      </w:r>
      <w:r>
        <w:rPr>
          <w:rFonts w:hint="eastAsia" w:ascii="楷体_GB2312" w:hAnsi="楷体" w:eastAsia="楷体_GB2312"/>
          <w:b/>
          <w:bCs/>
          <w:sz w:val="24"/>
          <w:highlight w:val="none"/>
          <w:lang w:val="en-US" w:eastAsia="zh-CN"/>
        </w:rPr>
        <w:t>形</w:t>
      </w:r>
      <w:r>
        <w:rPr>
          <w:rFonts w:hint="eastAsia" w:ascii="楷体_GB2312" w:hAnsi="楷体" w:eastAsia="楷体_GB2312"/>
          <w:b/>
          <w:sz w:val="24"/>
          <w:highlight w:val="none"/>
        </w:rPr>
        <w:t>下，投资者甚至可能损失全部本金。</w:t>
      </w:r>
      <w:r>
        <w:rPr>
          <w:rFonts w:hint="eastAsia" w:ascii="楷体_GB2312" w:hAnsi="楷体" w:eastAsia="楷体_GB2312"/>
          <w:b/>
          <w:sz w:val="24"/>
          <w:highlight w:val="none"/>
          <w:lang w:val="en-US" w:eastAsia="zh-CN"/>
        </w:rPr>
        <w:t xml:space="preserve">    </w:t>
      </w:r>
    </w:p>
    <w:p w14:paraId="50288394">
      <w:pPr>
        <w:ind w:firstLine="480" w:firstLineChars="200"/>
        <w:rPr>
          <w:rFonts w:ascii="楷体_GB2312" w:hAnsi="楷体" w:eastAsia="楷体_GB2312"/>
          <w:b/>
          <w:bCs/>
          <w:sz w:val="24"/>
          <w:highlight w:val="none"/>
        </w:rPr>
      </w:pPr>
      <w:r>
        <w:rPr>
          <w:rFonts w:hint="eastAsia" w:ascii="楷体_GB2312" w:hAnsi="楷体" w:eastAsia="楷体_GB2312"/>
          <w:sz w:val="24"/>
          <w:highlight w:val="none"/>
        </w:rPr>
        <w:t>在最不利投资情形下的投资结果示例：假设投资者购买本理财产品的本金为50万元人民币，</w:t>
      </w:r>
      <w:r>
        <w:rPr>
          <w:rFonts w:hint="eastAsia" w:ascii="楷体_GB2312" w:hAnsi="楷体" w:eastAsia="楷体_GB2312"/>
          <w:sz w:val="24"/>
          <w:highlight w:val="none"/>
          <w:lang w:val="en-US" w:eastAsia="zh-CN"/>
        </w:rPr>
        <w:t>如果本理财产品发生风险事件，</w:t>
      </w:r>
      <w:r>
        <w:rPr>
          <w:rFonts w:hint="eastAsia" w:ascii="楷体_GB2312" w:hAnsi="楷体" w:eastAsia="楷体_GB2312"/>
          <w:sz w:val="24"/>
          <w:highlight w:val="none"/>
        </w:rPr>
        <w:t>在投资组合</w:t>
      </w:r>
      <w:r>
        <w:rPr>
          <w:rFonts w:hint="eastAsia" w:ascii="楷体_GB2312" w:hAnsi="楷体" w:eastAsia="楷体_GB2312"/>
          <w:sz w:val="24"/>
          <w:highlight w:val="none"/>
          <w:lang w:val="en-US" w:eastAsia="zh-CN"/>
        </w:rPr>
        <w:t>项下</w:t>
      </w:r>
      <w:r>
        <w:rPr>
          <w:rFonts w:hint="eastAsia" w:ascii="楷体_GB2312" w:hAnsi="楷体" w:eastAsia="楷体_GB2312"/>
          <w:sz w:val="24"/>
          <w:highlight w:val="none"/>
        </w:rPr>
        <w:t>资产全部亏损的最不利情况下，</w:t>
      </w:r>
      <w:r>
        <w:rPr>
          <w:rFonts w:hint="eastAsia" w:ascii="楷体_GB2312" w:hAnsi="楷体" w:eastAsia="楷体_GB2312"/>
          <w:sz w:val="24"/>
          <w:highlight w:val="none"/>
          <w:lang w:val="en-US" w:eastAsia="zh-CN"/>
        </w:rPr>
        <w:t>产品单位净值为0，</w:t>
      </w:r>
      <w:r>
        <w:rPr>
          <w:rFonts w:hint="eastAsia" w:ascii="楷体_GB2312" w:hAnsi="楷体" w:eastAsia="楷体_GB2312"/>
          <w:sz w:val="24"/>
          <w:highlight w:val="none"/>
        </w:rPr>
        <w:t>投资者</w:t>
      </w:r>
      <w:r>
        <w:rPr>
          <w:rFonts w:hint="eastAsia" w:ascii="楷体_GB2312" w:hAnsi="楷体" w:eastAsia="楷体_GB2312"/>
          <w:sz w:val="24"/>
          <w:highlight w:val="none"/>
          <w:lang w:val="en-US" w:eastAsia="zh-CN"/>
        </w:rPr>
        <w:t>投资的</w:t>
      </w:r>
      <w:r>
        <w:rPr>
          <w:rFonts w:hint="eastAsia" w:ascii="楷体_GB2312" w:hAnsi="楷体" w:eastAsia="楷体_GB2312"/>
          <w:sz w:val="24"/>
          <w:highlight w:val="none"/>
        </w:rPr>
        <w:t>50万元</w:t>
      </w:r>
      <w:r>
        <w:rPr>
          <w:rFonts w:hint="eastAsia" w:ascii="楷体_GB2312" w:hAnsi="楷体" w:eastAsia="楷体_GB2312"/>
          <w:sz w:val="24"/>
          <w:highlight w:val="none"/>
          <w:lang w:val="en-US" w:eastAsia="zh-CN"/>
        </w:rPr>
        <w:t>本金将全部损失。</w:t>
      </w:r>
      <w:r>
        <w:rPr>
          <w:rFonts w:hint="eastAsia" w:ascii="楷体_GB2312" w:hAnsi="楷体" w:eastAsia="楷体_GB2312"/>
          <w:b/>
          <w:bCs/>
          <w:sz w:val="24"/>
          <w:highlight w:val="none"/>
        </w:rPr>
        <w:t>请投资者充分认识投资风险，谨慎投资。</w:t>
      </w:r>
    </w:p>
    <w:p w14:paraId="1EA97947">
      <w:p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rPr>
        <w:t>★三、特别提示</w:t>
      </w:r>
    </w:p>
    <w:p w14:paraId="60A8E1B9">
      <w:pPr>
        <w:keepNext w:val="0"/>
        <w:keepLines w:val="0"/>
        <w:widowControl/>
        <w:suppressLineNumbers w:val="0"/>
        <w:ind w:firstLine="482" w:firstLineChars="200"/>
        <w:jc w:val="left"/>
        <w:rPr>
          <w:rFonts w:hint="eastAsia" w:ascii="楷体_GB2312" w:hAnsi="楷体" w:eastAsia="楷体_GB2312" w:cs="Times New Roman"/>
          <w:b/>
          <w:bCs/>
          <w:kern w:val="2"/>
          <w:sz w:val="24"/>
          <w:szCs w:val="24"/>
          <w:highlight w:val="none"/>
          <w:lang w:val="en-US" w:eastAsia="zh-CN" w:bidi="ar"/>
        </w:rPr>
      </w:pPr>
      <w:r>
        <w:rPr>
          <w:rFonts w:hint="eastAsia" w:ascii="楷体_GB2312" w:hAnsi="楷体" w:eastAsia="楷体_GB2312"/>
          <w:b/>
          <w:bCs/>
          <w:sz w:val="24"/>
          <w:highlight w:val="none"/>
        </w:rPr>
        <w:t>本理财产品由北银理财发行并作为</w:t>
      </w:r>
      <w:r>
        <w:rPr>
          <w:rFonts w:hint="eastAsia" w:ascii="楷体_GB2312" w:hAnsi="楷体" w:eastAsia="楷体_GB2312"/>
          <w:b/>
          <w:bCs/>
          <w:sz w:val="24"/>
          <w:highlight w:val="none"/>
          <w:lang w:eastAsia="zh-CN"/>
        </w:rPr>
        <w:t>产品管理人</w:t>
      </w:r>
      <w:r>
        <w:rPr>
          <w:rFonts w:hint="eastAsia" w:ascii="楷体_GB2312" w:hAnsi="楷体" w:eastAsia="楷体_GB2312"/>
          <w:b/>
          <w:bCs/>
          <w:sz w:val="24"/>
          <w:highlight w:val="none"/>
        </w:rPr>
        <w:t>，独立履行产品管理职责，北银理财委托</w:t>
      </w:r>
      <w:r>
        <w:rPr>
          <w:rFonts w:hint="eastAsia" w:ascii="楷体_GB2312" w:hAnsi="楷体" w:eastAsia="楷体_GB2312" w:cs="Times New Roman"/>
          <w:b/>
          <w:bCs/>
          <w:sz w:val="24"/>
          <w:highlight w:val="none"/>
          <w:lang w:val="en-US" w:eastAsia="zh-CN"/>
        </w:rPr>
        <w:t>代理销售</w:t>
      </w:r>
      <w:r>
        <w:rPr>
          <w:rFonts w:hint="eastAsia" w:ascii="楷体_GB2312" w:hAnsi="楷体" w:eastAsia="楷体_GB2312" w:cs="Times New Roman"/>
          <w:b/>
          <w:bCs/>
          <w:sz w:val="24"/>
          <w:highlight w:val="none"/>
        </w:rPr>
        <w:t>机构销</w:t>
      </w:r>
      <w:r>
        <w:rPr>
          <w:rFonts w:hint="eastAsia" w:ascii="楷体_GB2312" w:hAnsi="楷体" w:eastAsia="楷体_GB2312"/>
          <w:b/>
          <w:bCs/>
          <w:sz w:val="24"/>
          <w:highlight w:val="none"/>
        </w:rPr>
        <w:t>售</w:t>
      </w:r>
      <w:r>
        <w:rPr>
          <w:rFonts w:hint="eastAsia" w:ascii="楷体_GB2312" w:hAnsi="楷体" w:eastAsia="楷体_GB2312"/>
          <w:b/>
          <w:bCs/>
          <w:sz w:val="24"/>
          <w:highlight w:val="none"/>
          <w:lang w:val="en-US" w:eastAsia="zh-CN"/>
        </w:rPr>
        <w:t>本</w:t>
      </w:r>
      <w:r>
        <w:rPr>
          <w:rFonts w:hint="eastAsia" w:ascii="楷体_GB2312" w:hAnsi="楷体" w:eastAsia="楷体_GB2312"/>
          <w:b/>
          <w:bCs/>
          <w:sz w:val="24"/>
          <w:highlight w:val="none"/>
        </w:rPr>
        <w:t>理财产品的，可能涉及委托</w:t>
      </w:r>
      <w:r>
        <w:rPr>
          <w:rFonts w:hint="eastAsia" w:ascii="楷体_GB2312" w:hAnsi="楷体" w:eastAsia="楷体_GB2312"/>
          <w:b/>
          <w:bCs/>
          <w:color w:val="auto"/>
          <w:sz w:val="24"/>
          <w:highlight w:val="none"/>
          <w:lang w:val="en-US" w:eastAsia="zh-CN"/>
        </w:rPr>
        <w:t>北京</w:t>
      </w:r>
      <w:r>
        <w:rPr>
          <w:rFonts w:hint="eastAsia" w:ascii="楷体_GB2312" w:hAnsi="楷体" w:eastAsia="楷体_GB2312"/>
          <w:b/>
          <w:bCs/>
          <w:sz w:val="24"/>
          <w:highlight w:val="none"/>
        </w:rPr>
        <w:t>银行</w:t>
      </w:r>
      <w:r>
        <w:rPr>
          <w:rFonts w:hint="eastAsia" w:ascii="楷体_GB2312" w:hAnsi="楷体" w:eastAsia="楷体_GB2312"/>
          <w:b/>
          <w:bCs/>
          <w:sz w:val="24"/>
          <w:highlight w:val="none"/>
          <w:lang w:eastAsia="zh-CN"/>
        </w:rPr>
        <w:t>股份有限公司（以下简称“</w:t>
      </w:r>
      <w:r>
        <w:rPr>
          <w:rFonts w:hint="eastAsia" w:ascii="楷体_GB2312" w:hAnsi="楷体" w:eastAsia="楷体_GB2312"/>
          <w:b/>
          <w:bCs/>
          <w:sz w:val="24"/>
          <w:highlight w:val="none"/>
          <w:lang w:val="en-US" w:eastAsia="zh-CN"/>
        </w:rPr>
        <w:t>北京</w:t>
      </w:r>
      <w:r>
        <w:rPr>
          <w:rFonts w:hint="eastAsia" w:ascii="楷体_GB2312" w:hAnsi="楷体" w:eastAsia="楷体_GB2312"/>
          <w:b/>
          <w:bCs/>
          <w:sz w:val="24"/>
          <w:highlight w:val="none"/>
          <w:lang w:eastAsia="zh-CN"/>
        </w:rPr>
        <w:t>银行”）</w:t>
      </w:r>
      <w:r>
        <w:rPr>
          <w:rFonts w:hint="eastAsia" w:ascii="楷体_GB2312" w:hAnsi="楷体" w:eastAsia="楷体_GB2312"/>
          <w:b/>
          <w:bCs/>
          <w:sz w:val="24"/>
          <w:highlight w:val="none"/>
        </w:rPr>
        <w:t>作为</w:t>
      </w:r>
      <w:r>
        <w:rPr>
          <w:rFonts w:hint="eastAsia" w:ascii="楷体_GB2312" w:hAnsi="楷体" w:eastAsia="楷体_GB2312"/>
          <w:b/>
          <w:bCs/>
          <w:sz w:val="24"/>
          <w:highlight w:val="none"/>
          <w:lang w:eastAsia="zh-CN"/>
        </w:rPr>
        <w:t>本</w:t>
      </w:r>
      <w:r>
        <w:rPr>
          <w:rFonts w:hint="eastAsia" w:ascii="楷体_GB2312" w:hAnsi="楷体" w:eastAsia="楷体_GB2312"/>
          <w:b/>
          <w:bCs/>
          <w:sz w:val="24"/>
          <w:highlight w:val="none"/>
        </w:rPr>
        <w:t>理财产品的</w:t>
      </w:r>
      <w:r>
        <w:rPr>
          <w:rFonts w:hint="eastAsia" w:ascii="楷体_GB2312" w:hAnsi="楷体" w:eastAsia="楷体_GB2312"/>
          <w:b/>
          <w:bCs/>
          <w:sz w:val="24"/>
          <w:highlight w:val="none"/>
          <w:lang w:val="en-US" w:eastAsia="zh-CN"/>
        </w:rPr>
        <w:t>代理</w:t>
      </w:r>
      <w:r>
        <w:rPr>
          <w:rFonts w:hint="eastAsia" w:ascii="楷体_GB2312" w:hAnsi="楷体" w:eastAsia="楷体_GB2312"/>
          <w:b/>
          <w:bCs/>
          <w:sz w:val="24"/>
          <w:highlight w:val="none"/>
        </w:rPr>
        <w:t>销售机构，负责</w:t>
      </w:r>
      <w:r>
        <w:rPr>
          <w:rFonts w:hint="eastAsia" w:ascii="楷体_GB2312" w:hAnsi="楷体" w:eastAsia="楷体_GB2312"/>
          <w:b/>
          <w:bCs/>
          <w:sz w:val="24"/>
          <w:highlight w:val="none"/>
          <w:lang w:val="en-US" w:eastAsia="zh-CN"/>
        </w:rPr>
        <w:t>本</w:t>
      </w:r>
      <w:r>
        <w:rPr>
          <w:rFonts w:hint="eastAsia" w:ascii="楷体_GB2312" w:hAnsi="楷体" w:eastAsia="楷体_GB2312"/>
          <w:b/>
          <w:bCs/>
          <w:sz w:val="24"/>
          <w:highlight w:val="none"/>
        </w:rPr>
        <w:t>理财产品的销售工作。</w:t>
      </w:r>
      <w:r>
        <w:rPr>
          <w:rFonts w:hint="eastAsia" w:ascii="楷体_GB2312" w:hAnsi="楷体" w:eastAsia="楷体_GB2312"/>
          <w:b/>
          <w:bCs/>
          <w:sz w:val="24"/>
          <w:highlight w:val="none"/>
          <w:lang w:val="en-US" w:eastAsia="zh-CN"/>
        </w:rPr>
        <w:t>北京</w:t>
      </w:r>
      <w:r>
        <w:rPr>
          <w:rFonts w:hint="eastAsia" w:ascii="楷体_GB2312" w:hAnsi="楷体" w:eastAsia="楷体_GB2312"/>
          <w:b/>
          <w:bCs/>
          <w:sz w:val="24"/>
          <w:highlight w:val="none"/>
          <w:lang w:eastAsia="zh-CN"/>
        </w:rPr>
        <w:t>银行</w:t>
      </w:r>
      <w:r>
        <w:rPr>
          <w:rFonts w:hint="eastAsia" w:ascii="楷体_GB2312" w:hAnsi="楷体" w:eastAsia="楷体_GB2312"/>
          <w:b/>
          <w:bCs/>
          <w:sz w:val="24"/>
          <w:highlight w:val="none"/>
          <w:lang w:val="en-US" w:eastAsia="zh-CN"/>
        </w:rPr>
        <w:t>是</w:t>
      </w:r>
      <w:r>
        <w:rPr>
          <w:rFonts w:hint="eastAsia" w:ascii="楷体_GB2312" w:hAnsi="楷体" w:eastAsia="楷体_GB2312"/>
          <w:b/>
          <w:bCs/>
          <w:sz w:val="24"/>
          <w:highlight w:val="none"/>
        </w:rPr>
        <w:t>北银理财</w:t>
      </w:r>
      <w:r>
        <w:rPr>
          <w:rFonts w:hint="eastAsia" w:ascii="楷体_GB2312" w:hAnsi="楷体" w:eastAsia="楷体_GB2312"/>
          <w:b/>
          <w:bCs/>
          <w:color w:val="auto"/>
          <w:sz w:val="24"/>
          <w:highlight w:val="none"/>
          <w:lang w:val="en-US" w:eastAsia="zh-CN"/>
        </w:rPr>
        <w:t>的</w:t>
      </w:r>
      <w:r>
        <w:rPr>
          <w:rFonts w:hint="eastAsia" w:ascii="楷体_GB2312" w:hAnsi="楷体" w:eastAsia="楷体_GB2312"/>
          <w:b/>
          <w:bCs/>
          <w:sz w:val="24"/>
          <w:highlight w:val="none"/>
        </w:rPr>
        <w:t>关联方，可能出现关联交易行为。尽管北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本金</w:t>
      </w:r>
      <w:r>
        <w:rPr>
          <w:rFonts w:hint="eastAsia" w:ascii="楷体_GB2312" w:hAnsi="楷体" w:eastAsia="楷体_GB2312"/>
          <w:b/>
          <w:bCs/>
          <w:sz w:val="24"/>
          <w:highlight w:val="none"/>
          <w:lang w:val="en-US" w:eastAsia="zh-CN"/>
        </w:rPr>
        <w:t>及/</w:t>
      </w:r>
      <w:r>
        <w:rPr>
          <w:rFonts w:hint="eastAsia" w:ascii="楷体_GB2312" w:hAnsi="楷体" w:eastAsia="楷体_GB2312"/>
          <w:b/>
          <w:bCs/>
          <w:sz w:val="24"/>
          <w:highlight w:val="none"/>
        </w:rPr>
        <w:t>或收益的风险。投资者确认本</w:t>
      </w:r>
      <w:r>
        <w:rPr>
          <w:rFonts w:hint="eastAsia" w:ascii="楷体_GB2312" w:hAnsi="楷体" w:eastAsia="楷体_GB2312"/>
          <w:b/>
          <w:bCs/>
          <w:sz w:val="24"/>
          <w:highlight w:val="none"/>
          <w:lang w:eastAsia="zh-CN"/>
        </w:rPr>
        <w:t>《</w:t>
      </w:r>
      <w:r>
        <w:rPr>
          <w:rFonts w:hint="eastAsia" w:ascii="楷体_GB2312" w:hAnsi="楷体" w:eastAsia="楷体_GB2312"/>
          <w:b/>
          <w:bCs/>
          <w:sz w:val="24"/>
          <w:highlight w:val="none"/>
        </w:rPr>
        <w:t>风险揭示书</w:t>
      </w:r>
      <w:r>
        <w:rPr>
          <w:rFonts w:hint="eastAsia" w:ascii="楷体_GB2312" w:hAnsi="楷体" w:eastAsia="楷体_GB2312"/>
          <w:b/>
          <w:bCs/>
          <w:sz w:val="24"/>
          <w:highlight w:val="none"/>
          <w:lang w:eastAsia="zh-CN"/>
        </w:rPr>
        <w:t>》</w:t>
      </w:r>
      <w:r>
        <w:rPr>
          <w:rFonts w:hint="eastAsia" w:ascii="楷体_GB2312" w:hAnsi="楷体" w:eastAsia="楷体_GB2312"/>
          <w:b/>
          <w:bCs/>
          <w:sz w:val="24"/>
          <w:highlight w:val="none"/>
        </w:rPr>
        <w:t>，即视为已知悉并接受本</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rPr>
        <w:t>产品</w:t>
      </w:r>
      <w:r>
        <w:rPr>
          <w:rFonts w:hint="eastAsia" w:ascii="楷体_GB2312" w:hAnsi="楷体" w:eastAsia="楷体_GB2312"/>
          <w:b/>
          <w:bCs/>
          <w:sz w:val="24"/>
          <w:highlight w:val="none"/>
          <w:lang w:val="en-US" w:eastAsia="zh-CN"/>
        </w:rPr>
        <w:t>可能存</w:t>
      </w:r>
      <w:r>
        <w:rPr>
          <w:rFonts w:hint="eastAsia" w:ascii="楷体_GB2312" w:hAnsi="楷体" w:eastAsia="楷体_GB2312" w:cs="Times New Roman"/>
          <w:b/>
          <w:bCs/>
          <w:sz w:val="24"/>
          <w:highlight w:val="none"/>
          <w:lang w:val="en-US" w:eastAsia="zh-CN"/>
        </w:rPr>
        <w:t>在</w:t>
      </w:r>
      <w:r>
        <w:rPr>
          <w:rFonts w:hint="eastAsia" w:ascii="楷体_GB2312" w:hAnsi="楷体" w:eastAsia="楷体_GB2312" w:cs="Times New Roman"/>
          <w:b/>
          <w:bCs/>
          <w:kern w:val="2"/>
          <w:sz w:val="24"/>
          <w:szCs w:val="24"/>
          <w:highlight w:val="none"/>
          <w:lang w:val="en-US" w:eastAsia="zh-CN" w:bidi="ar"/>
        </w:rPr>
        <w:t>关联关系及关联交易风险。</w:t>
      </w:r>
    </w:p>
    <w:p w14:paraId="297C8D70">
      <w:pPr>
        <w:pStyle w:val="2"/>
        <w:rPr>
          <w:rFonts w:hint="eastAsia" w:ascii="楷体_GB2312" w:hAnsi="楷体" w:eastAsia="楷体_GB2312" w:cs="Times New Roman"/>
          <w:b/>
          <w:bCs/>
          <w:kern w:val="2"/>
          <w:sz w:val="24"/>
          <w:szCs w:val="24"/>
          <w:highlight w:val="none"/>
          <w:lang w:val="en-US" w:eastAsia="zh-CN" w:bidi="ar"/>
        </w:rPr>
      </w:pPr>
    </w:p>
    <w:p w14:paraId="78B7E6EC">
      <w:pPr>
        <w:pStyle w:val="2"/>
        <w:rPr>
          <w:rFonts w:hint="eastAsia" w:ascii="楷体_GB2312" w:hAnsi="楷体" w:eastAsia="楷体_GB2312" w:cs="Times New Roman"/>
          <w:b/>
          <w:bCs/>
          <w:kern w:val="2"/>
          <w:sz w:val="24"/>
          <w:szCs w:val="24"/>
          <w:highlight w:val="none"/>
          <w:lang w:val="en-US" w:eastAsia="zh-CN" w:bidi="ar"/>
        </w:rPr>
      </w:pPr>
    </w:p>
    <w:p w14:paraId="09EE88FD">
      <w:pPr>
        <w:pStyle w:val="5"/>
        <w:rPr>
          <w:rFonts w:hint="eastAsia" w:ascii="楷体_GB2312" w:hAnsi="楷体" w:eastAsia="楷体_GB2312" w:cs="Times New Roman"/>
          <w:b/>
          <w:bCs/>
          <w:kern w:val="2"/>
          <w:sz w:val="24"/>
          <w:szCs w:val="24"/>
          <w:highlight w:val="none"/>
          <w:lang w:val="en-US" w:eastAsia="zh-CN" w:bidi="ar"/>
        </w:rPr>
      </w:pPr>
    </w:p>
    <w:p w14:paraId="332B9301">
      <w:pPr>
        <w:pStyle w:val="5"/>
        <w:rPr>
          <w:rFonts w:hint="eastAsia" w:ascii="楷体_GB2312" w:hAnsi="楷体" w:eastAsia="楷体_GB2312" w:cs="Times New Roman"/>
          <w:b/>
          <w:bCs/>
          <w:kern w:val="2"/>
          <w:sz w:val="24"/>
          <w:szCs w:val="24"/>
          <w:highlight w:val="none"/>
          <w:lang w:val="en-US" w:eastAsia="zh-CN" w:bidi="ar"/>
        </w:rPr>
      </w:pPr>
    </w:p>
    <w:p w14:paraId="7FC4B514">
      <w:pPr>
        <w:pStyle w:val="5"/>
        <w:rPr>
          <w:rFonts w:hint="eastAsia" w:ascii="楷体_GB2312" w:hAnsi="楷体" w:eastAsia="楷体_GB2312" w:cs="Times New Roman"/>
          <w:b/>
          <w:bCs/>
          <w:kern w:val="2"/>
          <w:sz w:val="24"/>
          <w:szCs w:val="24"/>
          <w:highlight w:val="none"/>
          <w:lang w:val="en-US" w:eastAsia="zh-CN" w:bidi="ar"/>
        </w:rPr>
      </w:pPr>
    </w:p>
    <w:p w14:paraId="4E5B12CB">
      <w:pPr>
        <w:pStyle w:val="5"/>
        <w:rPr>
          <w:rFonts w:hint="eastAsia" w:ascii="楷体_GB2312" w:hAnsi="楷体" w:eastAsia="楷体_GB2312" w:cs="Times New Roman"/>
          <w:b/>
          <w:bCs/>
          <w:kern w:val="2"/>
          <w:sz w:val="24"/>
          <w:szCs w:val="24"/>
          <w:highlight w:val="none"/>
          <w:lang w:val="en-US" w:eastAsia="zh-CN" w:bidi="ar"/>
        </w:rPr>
      </w:pPr>
    </w:p>
    <w:p w14:paraId="6887AF13">
      <w:pPr>
        <w:pStyle w:val="5"/>
        <w:rPr>
          <w:rFonts w:hint="eastAsia" w:ascii="楷体_GB2312" w:hAnsi="楷体" w:eastAsia="楷体_GB2312" w:cs="Times New Roman"/>
          <w:b/>
          <w:bCs/>
          <w:kern w:val="2"/>
          <w:sz w:val="24"/>
          <w:szCs w:val="24"/>
          <w:highlight w:val="none"/>
          <w:lang w:val="en-US" w:eastAsia="zh-CN" w:bidi="ar"/>
        </w:rPr>
      </w:pPr>
    </w:p>
    <w:p w14:paraId="337F6BD7">
      <w:pPr>
        <w:pStyle w:val="5"/>
        <w:rPr>
          <w:rFonts w:hint="eastAsia" w:ascii="楷体_GB2312" w:hAnsi="楷体" w:eastAsia="楷体_GB2312" w:cs="Times New Roman"/>
          <w:b/>
          <w:bCs/>
          <w:kern w:val="2"/>
          <w:sz w:val="24"/>
          <w:szCs w:val="24"/>
          <w:highlight w:val="none"/>
          <w:lang w:val="en-US" w:eastAsia="zh-CN" w:bidi="ar"/>
        </w:rPr>
      </w:pPr>
    </w:p>
    <w:p w14:paraId="2C5E06B3">
      <w:pPr>
        <w:pStyle w:val="5"/>
        <w:rPr>
          <w:rFonts w:hint="eastAsia" w:ascii="楷体_GB2312" w:hAnsi="楷体" w:eastAsia="楷体_GB2312" w:cs="Times New Roman"/>
          <w:b/>
          <w:bCs/>
          <w:kern w:val="2"/>
          <w:sz w:val="24"/>
          <w:szCs w:val="24"/>
          <w:highlight w:val="none"/>
          <w:lang w:val="en-US" w:eastAsia="zh-CN" w:bidi="ar"/>
        </w:rPr>
      </w:pPr>
    </w:p>
    <w:p w14:paraId="07AF9CB2">
      <w:pPr>
        <w:pStyle w:val="5"/>
        <w:rPr>
          <w:rFonts w:hint="eastAsia" w:ascii="楷体_GB2312" w:hAnsi="楷体" w:eastAsia="楷体_GB2312" w:cs="Times New Roman"/>
          <w:b/>
          <w:bCs/>
          <w:kern w:val="2"/>
          <w:sz w:val="24"/>
          <w:szCs w:val="24"/>
          <w:highlight w:val="none"/>
          <w:lang w:val="en-US" w:eastAsia="zh-CN" w:bidi="ar"/>
        </w:rPr>
      </w:pPr>
    </w:p>
    <w:p w14:paraId="752873CD">
      <w:pPr>
        <w:pStyle w:val="5"/>
        <w:rPr>
          <w:rFonts w:hint="eastAsia" w:ascii="楷体_GB2312" w:hAnsi="楷体" w:eastAsia="楷体_GB2312" w:cs="Times New Roman"/>
          <w:b/>
          <w:bCs/>
          <w:kern w:val="2"/>
          <w:sz w:val="24"/>
          <w:szCs w:val="24"/>
          <w:highlight w:val="none"/>
          <w:lang w:val="en-US" w:eastAsia="zh-CN" w:bidi="ar"/>
        </w:rPr>
      </w:pPr>
    </w:p>
    <w:p w14:paraId="63C5C463">
      <w:pPr>
        <w:pStyle w:val="5"/>
        <w:rPr>
          <w:rFonts w:hint="eastAsia" w:ascii="楷体_GB2312" w:hAnsi="楷体" w:eastAsia="楷体_GB2312" w:cs="Times New Roman"/>
          <w:b/>
          <w:bCs/>
          <w:kern w:val="2"/>
          <w:sz w:val="24"/>
          <w:szCs w:val="24"/>
          <w:highlight w:val="none"/>
          <w:lang w:val="en-US" w:eastAsia="zh-CN" w:bidi="ar"/>
        </w:rPr>
      </w:pPr>
    </w:p>
    <w:p w14:paraId="639D194E">
      <w:pPr>
        <w:pStyle w:val="5"/>
        <w:ind w:firstLine="0" w:firstLineChars="0"/>
        <w:jc w:val="both"/>
        <w:rPr>
          <w:rFonts w:hint="eastAsia" w:ascii="黑体" w:hAnsi="黑体" w:eastAsia="黑体"/>
          <w:sz w:val="30"/>
          <w:szCs w:val="30"/>
          <w:highlight w:val="none"/>
          <w:lang w:val="en-US" w:eastAsia="zh-CN"/>
        </w:rPr>
      </w:pPr>
    </w:p>
    <w:p w14:paraId="69F1AF49">
      <w:pPr>
        <w:rPr>
          <w:rFonts w:hint="eastAsia"/>
          <w:lang w:val="en-US" w:eastAsia="zh-CN"/>
        </w:rPr>
      </w:pPr>
    </w:p>
    <w:p w14:paraId="574FAD81">
      <w:pPr>
        <w:pStyle w:val="5"/>
        <w:ind w:firstLine="0" w:firstLineChars="0"/>
        <w:jc w:val="center"/>
        <w:rPr>
          <w:rFonts w:hint="eastAsia" w:ascii="黑体" w:hAnsi="黑体" w:eastAsia="黑体"/>
          <w:sz w:val="30"/>
          <w:szCs w:val="30"/>
          <w:highlight w:val="none"/>
          <w:lang w:val="en-US" w:eastAsia="zh-CN"/>
        </w:rPr>
      </w:pPr>
    </w:p>
    <w:p w14:paraId="5FB501B8">
      <w:pPr>
        <w:pStyle w:val="5"/>
        <w:ind w:firstLine="0" w:firstLineChars="0"/>
        <w:jc w:val="center"/>
        <w:rPr>
          <w:rFonts w:ascii="黑体" w:hAnsi="黑体" w:eastAsia="黑体"/>
          <w:sz w:val="30"/>
          <w:szCs w:val="30"/>
          <w:highlight w:val="none"/>
        </w:rPr>
      </w:pPr>
      <w:r>
        <w:rPr>
          <w:rFonts w:hint="eastAsia" w:ascii="黑体" w:hAnsi="黑体" w:eastAsia="黑体"/>
          <w:sz w:val="30"/>
          <w:szCs w:val="30"/>
          <w:highlight w:val="none"/>
          <w:lang w:val="en-US" w:eastAsia="zh-CN"/>
        </w:rPr>
        <w:t>投资者风险</w:t>
      </w:r>
      <w:r>
        <w:rPr>
          <w:rFonts w:hint="eastAsia" w:ascii="黑体" w:hAnsi="黑体" w:eastAsia="黑体"/>
          <w:sz w:val="30"/>
          <w:szCs w:val="30"/>
          <w:highlight w:val="none"/>
        </w:rPr>
        <w:t>确认函</w:t>
      </w:r>
    </w:p>
    <w:p w14:paraId="1211F453">
      <w:pPr>
        <w:ind w:firstLine="480" w:firstLineChars="200"/>
        <w:rPr>
          <w:highlight w:val="none"/>
        </w:rPr>
      </w:pP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确认已经收到本</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风险揭示书</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，且已经认真阅读本</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风险揭示书</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w:t>
      </w:r>
      <w:r>
        <w:rPr>
          <w:rFonts w:hint="eastAsia" w:ascii="楷体_GB2312" w:hAnsi="楷体" w:eastAsia="楷体_GB2312"/>
          <w:sz w:val="24"/>
          <w:highlight w:val="none"/>
          <w:lang w:eastAsia="zh-CN"/>
        </w:rPr>
        <w:t>《理财产品投资协议书》、《理财产品说明书》、《投资者权益须知》</w:t>
      </w:r>
      <w:r>
        <w:rPr>
          <w:rFonts w:hint="eastAsia" w:ascii="楷体_GB2312" w:hAnsi="楷体" w:eastAsia="楷体_GB2312"/>
          <w:sz w:val="24"/>
          <w:highlight w:val="none"/>
          <w:lang w:val="en-US" w:eastAsia="zh-CN"/>
        </w:rPr>
        <w:t>和</w:t>
      </w:r>
      <w:r>
        <w:rPr>
          <w:rFonts w:hint="eastAsia" w:ascii="楷体_GB2312" w:hAnsi="楷体" w:eastAsia="楷体_GB2312"/>
          <w:b w:val="0"/>
          <w:bCs w:val="0"/>
          <w:sz w:val="24"/>
          <w:szCs w:val="24"/>
          <w:highlight w:val="none"/>
          <w:lang w:val="en-US" w:eastAsia="zh-CN"/>
        </w:rPr>
        <w:t>《代理销售</w:t>
      </w:r>
      <w:r>
        <w:rPr>
          <w:rFonts w:hint="eastAsia" w:ascii="楷体_GB2312" w:hAnsi="楷体" w:eastAsia="楷体_GB2312"/>
          <w:b w:val="0"/>
          <w:bCs w:val="0"/>
          <w:sz w:val="24"/>
          <w:highlight w:val="none"/>
        </w:rPr>
        <w:t>协议书</w:t>
      </w:r>
      <w:r>
        <w:rPr>
          <w:rFonts w:hint="eastAsia" w:ascii="楷体_GB2312" w:hAnsi="楷体" w:eastAsia="楷体_GB2312"/>
          <w:b w:val="0"/>
          <w:bCs w:val="0"/>
          <w:sz w:val="24"/>
          <w:highlight w:val="none"/>
          <w:lang w:eastAsia="zh-CN"/>
        </w:rPr>
        <w:t>》</w:t>
      </w:r>
      <w:r>
        <w:rPr>
          <w:rFonts w:hint="eastAsia" w:ascii="楷体_GB2312" w:hAnsi="楷体" w:eastAsia="楷体_GB2312"/>
          <w:b w:val="0"/>
          <w:bCs/>
          <w:sz w:val="24"/>
          <w:highlight w:val="none"/>
          <w:lang w:eastAsia="zh-CN"/>
        </w:rPr>
        <w:t>（</w:t>
      </w:r>
      <w:r>
        <w:rPr>
          <w:rFonts w:hint="eastAsia" w:ascii="楷体_GB2312" w:hAnsi="楷体" w:eastAsia="楷体_GB2312"/>
          <w:b w:val="0"/>
          <w:bCs/>
          <w:sz w:val="24"/>
          <w:highlight w:val="none"/>
          <w:lang w:val="en-US" w:eastAsia="zh-CN"/>
        </w:rPr>
        <w:t>具体名称以代销机构为准</w:t>
      </w:r>
      <w:r>
        <w:rPr>
          <w:rFonts w:hint="eastAsia" w:ascii="楷体_GB2312" w:hAnsi="楷体" w:eastAsia="楷体_GB2312"/>
          <w:b w:val="0"/>
          <w:bCs/>
          <w:sz w:val="24"/>
          <w:highlight w:val="none"/>
          <w:lang w:eastAsia="zh-CN"/>
        </w:rPr>
        <w:t>）</w:t>
      </w:r>
      <w:r>
        <w:rPr>
          <w:rFonts w:hint="eastAsia" w:ascii="楷体_GB2312" w:hAnsi="楷体" w:eastAsia="楷体_GB2312"/>
          <w:sz w:val="24"/>
          <w:highlight w:val="none"/>
        </w:rPr>
        <w:t>等</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理财产品完整销售文件，充分了解并清楚知晓</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理财产品的风险，愿意承担相关风险，接受</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理财产品完整销售文件的</w:t>
      </w:r>
      <w:r>
        <w:rPr>
          <w:rFonts w:hint="eastAsia" w:ascii="楷体_GB2312" w:hAnsi="楷体" w:eastAsia="楷体_GB2312"/>
          <w:sz w:val="24"/>
          <w:highlight w:val="none"/>
          <w:lang w:val="en-US" w:eastAsia="zh-CN"/>
        </w:rPr>
        <w:t>全部</w:t>
      </w:r>
      <w:r>
        <w:rPr>
          <w:rFonts w:hint="eastAsia" w:ascii="楷体_GB2312" w:hAnsi="楷体" w:eastAsia="楷体_GB2312"/>
          <w:sz w:val="24"/>
          <w:highlight w:val="none"/>
        </w:rPr>
        <w:t>内容。</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lang w:eastAsia="zh-Hans"/>
        </w:rPr>
        <w:t>确认</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lang w:eastAsia="zh-Hans"/>
        </w:rPr>
        <w:t>机构对于</w:t>
      </w:r>
      <w:r>
        <w:rPr>
          <w:rFonts w:hint="eastAsia" w:ascii="楷体_GB2312" w:hAnsi="楷体" w:eastAsia="楷体_GB2312"/>
          <w:sz w:val="24"/>
          <w:highlight w:val="none"/>
          <w:lang w:eastAsia="zh-CN"/>
        </w:rPr>
        <w:t>《理财产品说明书》</w:t>
      </w:r>
      <w:r>
        <w:rPr>
          <w:rFonts w:hint="eastAsia" w:ascii="楷体_GB2312" w:hAnsi="楷体" w:eastAsia="楷体_GB2312"/>
          <w:sz w:val="24"/>
          <w:highlight w:val="none"/>
          <w:lang w:eastAsia="zh-Hans"/>
        </w:rPr>
        <w:t>中有关免除、限制产品管理人责任的条款，</w:t>
      </w:r>
      <w:r>
        <w:rPr>
          <w:rFonts w:hint="eastAsia" w:ascii="楷体_GB2312" w:hAnsi="楷体" w:eastAsia="楷体_GB2312"/>
          <w:sz w:val="24"/>
          <w:highlight w:val="none"/>
          <w:lang w:val="en-US" w:eastAsia="zh-CN"/>
        </w:rPr>
        <w:t>以及</w:t>
      </w:r>
      <w:r>
        <w:rPr>
          <w:rFonts w:hint="eastAsia" w:ascii="楷体_GB2312" w:hAnsi="楷体" w:eastAsia="楷体_GB2312"/>
          <w:sz w:val="24"/>
          <w:highlight w:val="none"/>
          <w:lang w:eastAsia="zh-Hans"/>
        </w:rPr>
        <w:t>产品管理人单方面拥有某些权利的条款已向</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lang w:eastAsia="zh-Hans"/>
        </w:rPr>
        <w:t>予以说明。</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确认理解</w:t>
      </w:r>
      <w:r>
        <w:rPr>
          <w:rFonts w:hint="eastAsia" w:ascii="楷体_GB2312" w:hAnsi="楷体" w:eastAsia="楷体_GB2312"/>
          <w:sz w:val="24"/>
          <w:highlight w:val="none"/>
          <w:lang w:val="en-US" w:eastAsia="zh-CN"/>
        </w:rPr>
        <w:t>并认可</w:t>
      </w:r>
      <w:r>
        <w:rPr>
          <w:rFonts w:hint="eastAsia" w:ascii="楷体_GB2312" w:hAnsi="楷体" w:eastAsia="楷体_GB2312"/>
          <w:sz w:val="24"/>
          <w:highlight w:val="none"/>
        </w:rPr>
        <w:t>投资本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w:t>
      </w:r>
      <w:r>
        <w:rPr>
          <w:rFonts w:hint="eastAsia" w:ascii="楷体_GB2312" w:hAnsi="楷体" w:eastAsia="楷体_GB2312"/>
          <w:sz w:val="24"/>
          <w:highlight w:val="none"/>
          <w:lang w:val="en-US" w:eastAsia="zh-CN"/>
        </w:rPr>
        <w:t>可能</w:t>
      </w:r>
      <w:r>
        <w:rPr>
          <w:rFonts w:hint="eastAsia" w:ascii="楷体_GB2312" w:hAnsi="楷体" w:eastAsia="楷体_GB2312"/>
          <w:sz w:val="24"/>
          <w:highlight w:val="none"/>
        </w:rPr>
        <w:t>涉及的所有风险，并将承担且有能力承担该等风险。</w:t>
      </w:r>
    </w:p>
    <w:p w14:paraId="4D039B98">
      <w:pPr>
        <w:ind w:firstLine="480" w:firstLineChars="200"/>
        <w:rPr>
          <w:rFonts w:ascii="楷体_GB2312" w:hAnsi="楷体" w:eastAsia="楷体_GB2312"/>
          <w:sz w:val="24"/>
          <w:highlight w:val="none"/>
        </w:rPr>
      </w:pP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购买本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产品的资金为合法自有资金，不存在使用贷款、发行债券等筹集的非自有资金投资</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理财产品的情形，</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承诺投资于本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产品使用的资金来源合法合规，并且系为合法之目的投资</w:t>
      </w:r>
      <w:r>
        <w:rPr>
          <w:rFonts w:hint="eastAsia" w:ascii="楷体_GB2312" w:hAnsi="楷体" w:eastAsia="楷体_GB2312"/>
          <w:sz w:val="24"/>
          <w:highlight w:val="none"/>
          <w:lang w:eastAsia="zh-CN"/>
        </w:rPr>
        <w:t>本理财产品</w:t>
      </w:r>
      <w:r>
        <w:rPr>
          <w:rFonts w:hint="eastAsia" w:ascii="楷体_GB2312" w:hAnsi="楷体" w:eastAsia="楷体_GB2312"/>
          <w:sz w:val="24"/>
          <w:highlight w:val="none"/>
        </w:rPr>
        <w:t>，而非为洗钱等违法违规之目的，</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将配合</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rPr>
        <w:t>或者</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机构为反洗钱、反恐怖融资、制裁合规风险管理以及非居民金融账户涉税等</w:t>
      </w:r>
      <w:r>
        <w:rPr>
          <w:rFonts w:hint="eastAsia" w:ascii="楷体_GB2312" w:hAnsi="楷体" w:eastAsia="楷体_GB2312"/>
          <w:sz w:val="24"/>
          <w:highlight w:val="none"/>
          <w:lang w:val="en-US" w:eastAsia="zh-CN"/>
        </w:rPr>
        <w:t>目的</w:t>
      </w:r>
      <w:r>
        <w:rPr>
          <w:rFonts w:hint="eastAsia" w:ascii="楷体_GB2312" w:hAnsi="楷体" w:eastAsia="楷体_GB2312"/>
          <w:sz w:val="24"/>
          <w:highlight w:val="none"/>
        </w:rPr>
        <w:t>开展的尽职调查等措施，包括但不限于</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rPr>
        <w:t>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机构为前述目的所进行的投资者身份识别、风险评估与管理、大额交易与可疑交易报告、尽职调查等，并且</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将及时、真实、准确、完整地向</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rPr>
        <w:t>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机构提供身份信息、资金来源信息以及前述措施所需要的各项信息。</w:t>
      </w:r>
    </w:p>
    <w:p w14:paraId="54D45DA6">
      <w:pPr>
        <w:ind w:firstLine="480" w:firstLineChars="200"/>
        <w:rPr>
          <w:rFonts w:ascii="楷体_GB2312" w:hAnsi="楷体" w:eastAsia="楷体_GB2312"/>
          <w:sz w:val="24"/>
          <w:highlight w:val="none"/>
        </w:rPr>
      </w:pP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知晓并确认，</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rPr>
        <w:t>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机构有权根据法律、法规和监管政策的变化而不时更新反洗钱、反恐怖融资、制裁合规风险管理等相关措施以及非居民金融账户涉税尽职调查要求，</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将持续配合</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rPr>
        <w:t>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机构不时更新的措施和要求。若</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未遵守前述各项承诺，或触发前述法律、法规和监管政策认定的风险事项，</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rPr>
        <w:t>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机构有权依据法律法规和监管要求采取相应措施，并有权</w:t>
      </w:r>
      <w:r>
        <w:rPr>
          <w:rFonts w:hint="eastAsia" w:ascii="楷体_GB2312" w:hAnsi="楷体" w:eastAsia="楷体_GB2312"/>
          <w:sz w:val="24"/>
          <w:highlight w:val="none"/>
          <w:lang w:val="en-US" w:eastAsia="zh-CN"/>
        </w:rPr>
        <w:t>单方面解除本</w:t>
      </w:r>
      <w:r>
        <w:rPr>
          <w:rFonts w:hint="eastAsia" w:ascii="楷体_GB2312" w:hAnsi="楷体" w:eastAsia="楷体_GB2312"/>
          <w:sz w:val="24"/>
          <w:highlight w:val="none"/>
        </w:rPr>
        <w:t>理财产品销售文件、强制赎回</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届时持有的</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w:t>
      </w:r>
      <w:r>
        <w:rPr>
          <w:rFonts w:hint="eastAsia" w:ascii="楷体_GB2312" w:hAnsi="楷体" w:eastAsia="楷体_GB2312"/>
          <w:sz w:val="24"/>
          <w:highlight w:val="none"/>
          <w:lang w:val="en-US" w:eastAsia="zh-CN"/>
        </w:rPr>
        <w:t>产品份额</w:t>
      </w:r>
      <w:r>
        <w:rPr>
          <w:rFonts w:hint="eastAsia" w:ascii="楷体_GB2312" w:hAnsi="楷体" w:eastAsia="楷体_GB2312"/>
          <w:sz w:val="24"/>
          <w:highlight w:val="none"/>
        </w:rPr>
        <w:t>而无需事先通知</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或征得</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的同意，</w:t>
      </w:r>
      <w:r>
        <w:rPr>
          <w:rFonts w:hint="eastAsia" w:ascii="楷体_GB2312" w:hAnsi="楷体" w:eastAsia="楷体_GB2312"/>
          <w:sz w:val="24"/>
          <w:highlight w:val="none"/>
          <w:lang w:eastAsia="zh-CN"/>
        </w:rPr>
        <w:t>本人/本公司</w:t>
      </w:r>
      <w:r>
        <w:rPr>
          <w:rFonts w:hint="eastAsia" w:ascii="楷体_GB2312" w:hAnsi="楷体" w:eastAsia="楷体_GB2312"/>
          <w:sz w:val="24"/>
          <w:highlight w:val="none"/>
        </w:rPr>
        <w:t>将自行承担该等后果（包括</w:t>
      </w:r>
      <w:r>
        <w:rPr>
          <w:rFonts w:hint="eastAsia" w:ascii="楷体_GB2312" w:hAnsi="楷体" w:eastAsia="楷体_GB2312"/>
          <w:sz w:val="24"/>
          <w:highlight w:val="none"/>
          <w:lang w:val="en-US" w:eastAsia="zh-CN"/>
        </w:rPr>
        <w:t>但不限于</w:t>
      </w:r>
      <w:r>
        <w:rPr>
          <w:rFonts w:hint="eastAsia" w:ascii="楷体_GB2312" w:hAnsi="楷体" w:eastAsia="楷体_GB2312"/>
          <w:sz w:val="24"/>
          <w:highlight w:val="none"/>
        </w:rPr>
        <w:t>遭受本金损失并丧失获得投资回报的机会等）。</w:t>
      </w:r>
    </w:p>
    <w:p w14:paraId="1E855452">
      <w:pPr>
        <w:ind w:firstLine="480" w:firstLineChars="200"/>
        <w:rPr>
          <w:rFonts w:hint="eastAsia" w:ascii="楷体_GB2312" w:hAnsi="楷体" w:eastAsia="楷体_GB2312"/>
          <w:b/>
          <w:bCs/>
          <w:sz w:val="24"/>
          <w:highlight w:val="none"/>
        </w:rPr>
      </w:pPr>
      <w:r>
        <w:rPr>
          <w:rFonts w:hint="eastAsia" w:ascii="楷体_GB2312" w:hAnsi="楷体" w:eastAsia="楷体_GB2312"/>
          <w:sz w:val="24"/>
          <w:szCs w:val="24"/>
          <w:highlight w:val="none"/>
        </w:rPr>
        <w:t>★</w:t>
      </w:r>
      <w:r>
        <w:rPr>
          <w:rFonts w:hint="eastAsia" w:ascii="楷体_GB2312" w:hAnsi="楷体" w:eastAsia="楷体_GB2312"/>
          <w:b/>
          <w:bCs/>
          <w:sz w:val="24"/>
          <w:highlight w:val="none"/>
          <w:lang w:eastAsia="zh-CN"/>
        </w:rPr>
        <w:t>本人/本公司</w:t>
      </w:r>
      <w:r>
        <w:rPr>
          <w:rFonts w:hint="eastAsia" w:ascii="楷体_GB2312" w:hAnsi="楷体" w:eastAsia="楷体_GB2312"/>
          <w:b/>
          <w:bCs/>
          <w:sz w:val="24"/>
          <w:highlight w:val="none"/>
        </w:rPr>
        <w:t>充分了解并清楚知晓北银理财与</w:t>
      </w:r>
      <w:r>
        <w:rPr>
          <w:rFonts w:hint="eastAsia" w:ascii="楷体_GB2312" w:hAnsi="楷体" w:eastAsia="楷体_GB2312"/>
          <w:b/>
          <w:bCs/>
          <w:sz w:val="24"/>
          <w:highlight w:val="none"/>
          <w:lang w:val="en-US" w:eastAsia="zh-CN"/>
        </w:rPr>
        <w:t>北京</w:t>
      </w:r>
      <w:r>
        <w:rPr>
          <w:rFonts w:hint="eastAsia" w:ascii="楷体_GB2312" w:hAnsi="楷体" w:eastAsia="楷体_GB2312"/>
          <w:b/>
          <w:bCs/>
          <w:sz w:val="24"/>
          <w:highlight w:val="none"/>
        </w:rPr>
        <w:t>银行之间的关联关系。</w:t>
      </w:r>
      <w:r>
        <w:rPr>
          <w:rFonts w:hint="eastAsia" w:ascii="楷体_GB2312" w:hAnsi="楷体" w:eastAsia="楷体_GB2312"/>
          <w:b/>
          <w:bCs/>
          <w:sz w:val="24"/>
          <w:highlight w:val="none"/>
          <w:lang w:eastAsia="zh-CN"/>
        </w:rPr>
        <w:t>本人/本公司</w:t>
      </w:r>
      <w:r>
        <w:rPr>
          <w:rFonts w:hint="eastAsia" w:ascii="楷体_GB2312" w:hAnsi="楷体" w:eastAsia="楷体_GB2312"/>
          <w:b/>
          <w:bCs/>
          <w:sz w:val="24"/>
          <w:highlight w:val="none"/>
        </w:rPr>
        <w:t>确认理解并认可北银理财与</w:t>
      </w:r>
      <w:r>
        <w:rPr>
          <w:rFonts w:hint="eastAsia" w:ascii="楷体_GB2312" w:hAnsi="楷体" w:eastAsia="楷体_GB2312"/>
          <w:b/>
          <w:bCs/>
          <w:sz w:val="24"/>
          <w:highlight w:val="none"/>
          <w:lang w:val="en-US" w:eastAsia="zh-CN"/>
        </w:rPr>
        <w:t>北京</w:t>
      </w:r>
      <w:r>
        <w:rPr>
          <w:rFonts w:hint="eastAsia" w:ascii="楷体_GB2312" w:hAnsi="楷体" w:eastAsia="楷体_GB2312"/>
          <w:b/>
          <w:bCs/>
          <w:sz w:val="24"/>
          <w:highlight w:val="none"/>
        </w:rPr>
        <w:t>银行之间关联关系可能涉及的风险，并将承担且有能力承担</w:t>
      </w:r>
      <w:r>
        <w:rPr>
          <w:rFonts w:hint="eastAsia" w:ascii="楷体_GB2312" w:hAnsi="楷体" w:eastAsia="楷体_GB2312"/>
          <w:b/>
          <w:bCs/>
          <w:sz w:val="24"/>
          <w:highlight w:val="none"/>
          <w:lang w:val="en-US" w:eastAsia="zh-CN"/>
        </w:rPr>
        <w:t>可能发生的</w:t>
      </w:r>
      <w:r>
        <w:rPr>
          <w:rFonts w:hint="eastAsia" w:ascii="楷体_GB2312" w:hAnsi="楷体" w:eastAsia="楷体_GB2312"/>
          <w:b/>
          <w:bCs/>
          <w:sz w:val="24"/>
          <w:highlight w:val="none"/>
        </w:rPr>
        <w:t>该等风险。</w:t>
      </w:r>
    </w:p>
    <w:p w14:paraId="328A2311">
      <w:pPr>
        <w:ind w:firstLine="482" w:firstLineChars="200"/>
        <w:rPr>
          <w:rFonts w:hint="eastAsia" w:ascii="楷体_GB2312" w:hAnsi="楷体" w:eastAsia="楷体_GB2312"/>
          <w:b/>
          <w:bCs/>
          <w:sz w:val="24"/>
          <w:highlight w:val="none"/>
        </w:rPr>
      </w:pPr>
    </w:p>
    <w:p w14:paraId="119AF8C1">
      <w:pPr>
        <w:ind w:firstLine="482" w:firstLineChars="200"/>
        <w:rPr>
          <w:rFonts w:hint="eastAsia" w:ascii="楷体_GB2312" w:hAnsi="楷体" w:eastAsia="楷体_GB2312"/>
          <w:b/>
          <w:bCs/>
          <w:sz w:val="24"/>
          <w:highlight w:val="none"/>
        </w:rPr>
      </w:pPr>
    </w:p>
    <w:p w14:paraId="3E4FAF6B">
      <w:pPr>
        <w:spacing w:line="240" w:lineRule="auto"/>
        <w:ind w:firstLine="480" w:firstLineChars="200"/>
        <w:rPr>
          <w:rFonts w:hint="eastAsia" w:ascii="楷体_GB2312" w:hAnsi="楷体" w:eastAsia="楷体_GB2312" w:cs="Times New Roman"/>
          <w:b/>
          <w:bCs/>
          <w:sz w:val="24"/>
          <w:szCs w:val="24"/>
          <w:highlight w:val="none"/>
        </w:rPr>
      </w:pPr>
      <w:r>
        <w:rPr>
          <w:rFonts w:hint="eastAsia" w:ascii="楷体_GB2312" w:hAnsi="楷体" w:eastAsia="楷体_GB2312" w:cs="Times New Roman"/>
          <w:sz w:val="24"/>
          <w:szCs w:val="24"/>
          <w:highlight w:val="none"/>
        </w:rPr>
        <w:t>★经销售机构评估，本人</w:t>
      </w:r>
      <w:r>
        <w:rPr>
          <w:rFonts w:hint="eastAsia" w:ascii="楷体_GB2312" w:hAnsi="楷体" w:eastAsia="楷体_GB2312" w:cs="Times New Roman"/>
          <w:b w:val="0"/>
          <w:bCs w:val="0"/>
          <w:sz w:val="24"/>
          <w:szCs w:val="24"/>
          <w:highlight w:val="none"/>
          <w:lang w:val="en-US" w:eastAsia="zh-CN"/>
        </w:rPr>
        <w:t>/本公司</w:t>
      </w:r>
      <w:r>
        <w:rPr>
          <w:rFonts w:hint="eastAsia" w:ascii="楷体_GB2312" w:hAnsi="楷体" w:eastAsia="楷体_GB2312" w:cs="Times New Roman"/>
          <w:sz w:val="24"/>
          <w:szCs w:val="24"/>
          <w:highlight w:val="none"/>
        </w:rPr>
        <w:t>的风险承受能力评估结果为:__________，风险承受能力等级不低于本理财产品的风险评级，适合购买本理财产品。</w:t>
      </w:r>
      <w:r>
        <w:rPr>
          <w:rFonts w:hint="eastAsia" w:ascii="楷体_GB2312" w:hAnsi="楷体" w:eastAsia="楷体_GB2312" w:cs="Times New Roman"/>
          <w:b/>
          <w:bCs/>
          <w:sz w:val="24"/>
          <w:szCs w:val="24"/>
          <w:highlight w:val="none"/>
        </w:rPr>
        <w:t>如超过一年未进行风险承受能力评估或影响本人</w:t>
      </w:r>
      <w:r>
        <w:rPr>
          <w:rFonts w:hint="eastAsia" w:ascii="楷体_GB2312" w:hAnsi="楷体" w:eastAsia="楷体_GB2312" w:cs="Times New Roman"/>
          <w:b/>
          <w:bCs/>
          <w:sz w:val="24"/>
          <w:szCs w:val="24"/>
          <w:highlight w:val="none"/>
          <w:lang w:val="en-US" w:eastAsia="zh-CN"/>
        </w:rPr>
        <w:t>/本公司</w:t>
      </w:r>
      <w:r>
        <w:rPr>
          <w:rFonts w:hint="eastAsia" w:ascii="楷体_GB2312" w:hAnsi="楷体" w:eastAsia="楷体_GB2312" w:cs="Times New Roman"/>
          <w:b/>
          <w:bCs/>
          <w:sz w:val="24"/>
          <w:szCs w:val="24"/>
          <w:highlight w:val="none"/>
        </w:rPr>
        <w:t>风险承受能力的因素发生变化，本人</w:t>
      </w:r>
      <w:r>
        <w:rPr>
          <w:rFonts w:hint="eastAsia" w:ascii="楷体_GB2312" w:hAnsi="楷体" w:eastAsia="楷体_GB2312" w:cs="Times New Roman"/>
          <w:b/>
          <w:bCs/>
          <w:sz w:val="24"/>
          <w:szCs w:val="24"/>
          <w:highlight w:val="none"/>
          <w:lang w:val="en-US" w:eastAsia="zh-CN"/>
        </w:rPr>
        <w:t>/本公司</w:t>
      </w:r>
      <w:r>
        <w:rPr>
          <w:rFonts w:hint="eastAsia" w:ascii="楷体_GB2312" w:hAnsi="楷体" w:eastAsia="楷体_GB2312" w:cs="Times New Roman"/>
          <w:b/>
          <w:bCs/>
          <w:sz w:val="24"/>
          <w:szCs w:val="24"/>
          <w:highlight w:val="none"/>
        </w:rPr>
        <w:t>将及时完成风险承受能力的重新评估。</w:t>
      </w:r>
    </w:p>
    <w:p w14:paraId="6B8BE6E0">
      <w:pPr>
        <w:pStyle w:val="2"/>
        <w:spacing w:line="360" w:lineRule="auto"/>
        <w:ind w:left="420"/>
        <w:rPr>
          <w:rFonts w:ascii="宋体" w:hAnsi="宋体" w:cs="宋体"/>
          <w:color w:val="000000" w:themeColor="text1"/>
          <w:kern w:val="0"/>
          <w14:textFill>
            <w14:solidFill>
              <w14:schemeClr w14:val="tx1"/>
            </w14:solidFill>
          </w14:textFill>
        </w:rPr>
      </w:pPr>
    </w:p>
    <w:p w14:paraId="557EB6C6">
      <w:pPr>
        <w:pStyle w:val="5"/>
        <w:rPr>
          <w:rFonts w:ascii="宋体" w:hAnsi="宋体" w:cs="宋体"/>
          <w:color w:val="000000" w:themeColor="text1"/>
          <w:kern w:val="0"/>
          <w14:textFill>
            <w14:solidFill>
              <w14:schemeClr w14:val="tx1"/>
            </w14:solidFill>
          </w14:textFill>
        </w:rPr>
      </w:pPr>
    </w:p>
    <w:p w14:paraId="3C7DDB56"/>
    <w:p w14:paraId="327970C7">
      <w:pPr>
        <w:spacing w:line="240" w:lineRule="auto"/>
        <w:ind w:firstLine="480"/>
        <w:rPr>
          <w:rFonts w:hint="eastAsia" w:ascii="楷体_GB2312" w:hAnsi="楷体" w:eastAsia="楷体_GB2312" w:cs="Times New Roman"/>
          <w:b w:val="0"/>
          <w:bCs w:val="0"/>
          <w:kern w:val="2"/>
          <w:sz w:val="24"/>
          <w:szCs w:val="24"/>
          <w:highlight w:val="none"/>
        </w:rPr>
      </w:pPr>
      <w:r>
        <w:rPr>
          <w:rFonts w:hint="eastAsia" w:ascii="楷体_GB2312" w:hAnsi="楷体" w:eastAsia="楷体_GB2312" w:cs="Times New Roman"/>
          <w:sz w:val="24"/>
          <w:szCs w:val="24"/>
          <w:highlight w:val="none"/>
        </w:rPr>
        <w:t>★</w:t>
      </w:r>
      <w:r>
        <w:rPr>
          <w:rFonts w:hint="eastAsia" w:ascii="楷体_GB2312" w:hAnsi="楷体" w:eastAsia="楷体_GB2312" w:cs="Times New Roman"/>
          <w:kern w:val="2"/>
          <w:sz w:val="24"/>
          <w:szCs w:val="24"/>
          <w:highlight w:val="none"/>
        </w:rPr>
        <w:t>投资者须亲笔抄录以下内容：</w:t>
      </w:r>
      <w:r>
        <w:rPr>
          <w:rFonts w:hint="eastAsia" w:ascii="楷体_GB2312" w:hAnsi="楷体" w:eastAsia="楷体_GB2312" w:cs="Times New Roman"/>
          <w:b w:val="0"/>
          <w:bCs w:val="0"/>
          <w:kern w:val="2"/>
          <w:sz w:val="24"/>
          <w:szCs w:val="24"/>
          <w:highlight w:val="none"/>
        </w:rPr>
        <w:t>“</w:t>
      </w:r>
      <w:r>
        <w:rPr>
          <w:rFonts w:hint="eastAsia" w:ascii="楷体_GB2312" w:hAnsi="楷体" w:eastAsia="楷体_GB2312" w:cs="Times New Roman"/>
          <w:b/>
          <w:bCs/>
          <w:kern w:val="2"/>
          <w:sz w:val="24"/>
          <w:szCs w:val="24"/>
          <w:highlight w:val="none"/>
        </w:rPr>
        <w:t>本人/本公司已经阅读风险揭示，</w:t>
      </w:r>
      <w:r>
        <w:rPr>
          <w:rFonts w:hint="eastAsia" w:ascii="楷体_GB2312" w:hAnsi="楷体" w:eastAsia="楷体_GB2312" w:cs="Times New Roman"/>
          <w:b/>
          <w:bCs/>
          <w:kern w:val="2"/>
          <w:sz w:val="24"/>
          <w:szCs w:val="24"/>
          <w:highlight w:val="none"/>
          <w:lang w:eastAsia="zh-Hans"/>
        </w:rPr>
        <w:t>充分了解并清楚知晓</w:t>
      </w:r>
      <w:r>
        <w:rPr>
          <w:rFonts w:hint="eastAsia" w:ascii="楷体_GB2312" w:hAnsi="楷体" w:eastAsia="楷体_GB2312" w:cs="Times New Roman"/>
          <w:b/>
          <w:bCs/>
          <w:kern w:val="2"/>
          <w:sz w:val="24"/>
          <w:szCs w:val="24"/>
          <w:highlight w:val="none"/>
        </w:rPr>
        <w:t>本理财产品</w:t>
      </w:r>
      <w:r>
        <w:rPr>
          <w:rFonts w:hint="eastAsia" w:ascii="楷体_GB2312" w:hAnsi="楷体" w:eastAsia="楷体_GB2312" w:cs="Times New Roman"/>
          <w:b/>
          <w:bCs/>
          <w:kern w:val="2"/>
          <w:sz w:val="24"/>
          <w:szCs w:val="24"/>
          <w:highlight w:val="none"/>
          <w:lang w:eastAsia="zh-Hans"/>
        </w:rPr>
        <w:t>的风险，</w:t>
      </w:r>
      <w:r>
        <w:rPr>
          <w:rFonts w:hint="eastAsia" w:ascii="楷体_GB2312" w:hAnsi="楷体" w:eastAsia="楷体_GB2312" w:cs="Times New Roman"/>
          <w:b/>
          <w:bCs/>
          <w:kern w:val="2"/>
          <w:sz w:val="24"/>
          <w:szCs w:val="24"/>
          <w:highlight w:val="none"/>
        </w:rPr>
        <w:t>愿意承担投资风险</w:t>
      </w:r>
      <w:r>
        <w:rPr>
          <w:rFonts w:hint="eastAsia" w:ascii="楷体_GB2312" w:hAnsi="楷体" w:eastAsia="楷体_GB2312" w:cs="Times New Roman"/>
          <w:b w:val="0"/>
          <w:bCs w:val="0"/>
          <w:kern w:val="2"/>
          <w:sz w:val="24"/>
          <w:szCs w:val="24"/>
          <w:highlight w:val="none"/>
        </w:rPr>
        <w:t>。”</w:t>
      </w:r>
      <w:bookmarkStart w:id="8" w:name="_GoBack"/>
      <w:bookmarkEnd w:id="8"/>
    </w:p>
    <w:p w14:paraId="1B0F1400">
      <w:pPr>
        <w:pStyle w:val="45"/>
        <w:spacing w:line="360" w:lineRule="auto"/>
        <w:rPr>
          <w:rFonts w:ascii="宋体" w:hAnsi="宋体" w:eastAsia="宋体" w:cs="宋体"/>
          <w:color w:val="000000" w:themeColor="text1"/>
          <w:kern w:val="2"/>
          <w:sz w:val="21"/>
          <w:szCs w:val="21"/>
          <w14:textFill>
            <w14:solidFill>
              <w14:schemeClr w14:val="tx1"/>
            </w14:solidFill>
          </w14:textFill>
        </w:rPr>
      </w:pPr>
    </w:p>
    <w:p w14:paraId="16DCF5E0">
      <w:pPr>
        <w:pStyle w:val="45"/>
        <w:pBdr>
          <w:top w:val="single" w:color="auto" w:sz="4" w:space="0"/>
          <w:bottom w:val="single" w:color="auto" w:sz="4" w:space="0"/>
        </w:pBdr>
        <w:spacing w:line="360" w:lineRule="auto"/>
        <w:rPr>
          <w:rFonts w:ascii="宋体" w:hAnsi="宋体" w:eastAsia="宋体" w:cs="宋体"/>
          <w:color w:val="000000" w:themeColor="text1"/>
          <w:kern w:val="2"/>
          <w:sz w:val="21"/>
          <w:szCs w:val="21"/>
          <w14:textFill>
            <w14:solidFill>
              <w14:schemeClr w14:val="tx1"/>
            </w14:solidFill>
          </w14:textFill>
        </w:rPr>
      </w:pPr>
    </w:p>
    <w:p w14:paraId="24127F27">
      <w:pPr>
        <w:pStyle w:val="45"/>
        <w:spacing w:line="360" w:lineRule="auto"/>
        <w:rPr>
          <w:rFonts w:ascii="宋体" w:hAnsi="宋体" w:eastAsia="宋体" w:cs="宋体"/>
          <w:color w:val="000000" w:themeColor="text1"/>
          <w:kern w:val="2"/>
          <w:sz w:val="21"/>
          <w:szCs w:val="21"/>
          <w14:textFill>
            <w14:solidFill>
              <w14:schemeClr w14:val="tx1"/>
            </w14:solidFill>
          </w14:textFill>
        </w:rPr>
      </w:pPr>
    </w:p>
    <w:p w14:paraId="476DB533">
      <w:pPr>
        <w:pStyle w:val="45"/>
        <w:spacing w:line="360" w:lineRule="auto"/>
        <w:rPr>
          <w:rFonts w:ascii="宋体" w:hAnsi="宋体" w:eastAsia="宋体" w:cs="宋体"/>
          <w:color w:val="000000" w:themeColor="text1"/>
          <w:kern w:val="2"/>
          <w:sz w:val="21"/>
          <w:szCs w:val="21"/>
          <w14:textFill>
            <w14:solidFill>
              <w14:schemeClr w14:val="tx1"/>
            </w14:solidFill>
          </w14:textFill>
        </w:rPr>
      </w:pPr>
    </w:p>
    <w:p w14:paraId="5F5F8952">
      <w:pPr>
        <w:pStyle w:val="5"/>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（以下无正文，为《</w:t>
      </w:r>
      <w:r>
        <w:rPr>
          <w:rFonts w:hint="eastAsia" w:ascii="宋体" w:hAnsi="宋体" w:eastAsia="宋体" w:cs="宋体"/>
          <w:color w:val="000000" w:themeColor="text1"/>
          <w:sz w:val="21"/>
          <w:szCs w:val="21"/>
          <w:lang w:val="en-US" w:eastAsia="zh-CN"/>
          <w14:textFill>
            <w14:solidFill>
              <w14:schemeClr w14:val="tx1"/>
            </w14:solidFill>
          </w14:textFill>
        </w:rPr>
        <w:t>风险揭示书</w:t>
      </w:r>
      <w:r>
        <w:rPr>
          <w:rFonts w:hint="eastAsia" w:ascii="宋体" w:hAnsi="宋体" w:eastAsia="宋体" w:cs="宋体"/>
          <w:color w:val="000000" w:themeColor="text1"/>
          <w:sz w:val="21"/>
          <w:szCs w:val="21"/>
          <w14:textFill>
            <w14:solidFill>
              <w14:schemeClr w14:val="tx1"/>
            </w14:solidFill>
          </w14:textFill>
        </w:rPr>
        <w:t>》签署</w:t>
      </w:r>
      <w:r>
        <w:rPr>
          <w:rFonts w:hint="eastAsia" w:ascii="宋体" w:hAnsi="宋体" w:eastAsia="宋体" w:cs="宋体"/>
          <w:color w:val="000000" w:themeColor="text1"/>
          <w:sz w:val="21"/>
          <w:szCs w:val="21"/>
          <w:lang w:val="en-US" w:eastAsia="zh-CN"/>
          <w14:textFill>
            <w14:solidFill>
              <w14:schemeClr w14:val="tx1"/>
            </w14:solidFill>
          </w14:textFill>
        </w:rPr>
        <w:t>栏</w:t>
      </w:r>
      <w:r>
        <w:rPr>
          <w:rFonts w:hint="eastAsia" w:ascii="宋体" w:hAnsi="宋体" w:eastAsia="宋体" w:cs="宋体"/>
          <w:color w:val="000000" w:themeColor="text1"/>
          <w:sz w:val="21"/>
          <w:szCs w:val="21"/>
          <w14:textFill>
            <w14:solidFill>
              <w14:schemeClr w14:val="tx1"/>
            </w14:solidFill>
          </w14:textFill>
        </w:rPr>
        <w:t>）</w:t>
      </w:r>
    </w:p>
    <w:p w14:paraId="5C48184B">
      <w:pPr>
        <w:pStyle w:val="45"/>
        <w:rPr>
          <w:rFonts w:hint="eastAsia" w:ascii="楷体_GB2312" w:hAnsi="楷体" w:eastAsia="楷体_GB2312" w:cs="Times New Roman"/>
          <w:color w:val="auto"/>
          <w:kern w:val="2"/>
          <w:highlight w:val="none"/>
        </w:rPr>
      </w:pPr>
    </w:p>
    <w:p w14:paraId="3259078F">
      <w:pPr>
        <w:pStyle w:val="45"/>
        <w:rPr>
          <w:rFonts w:hint="eastAsia" w:ascii="楷体_GB2312" w:hAnsi="楷体" w:eastAsia="楷体_GB2312" w:cs="Times New Roman"/>
          <w:color w:val="auto"/>
          <w:kern w:val="2"/>
          <w:highlight w:val="none"/>
        </w:rPr>
      </w:pPr>
    </w:p>
    <w:p w14:paraId="6D6219D0">
      <w:pPr>
        <w:pStyle w:val="45"/>
        <w:ind w:right="1680"/>
        <w:jc w:val="right"/>
        <w:rPr>
          <w:rFonts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个人投资者（签名）：</w:t>
      </w:r>
    </w:p>
    <w:p w14:paraId="68A16234">
      <w:pPr>
        <w:pStyle w:val="45"/>
        <w:ind w:right="1680"/>
        <w:jc w:val="right"/>
        <w:rPr>
          <w:rFonts w:hint="eastAsia"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日期：</w:t>
      </w:r>
    </w:p>
    <w:p w14:paraId="047F6435">
      <w:pPr>
        <w:pStyle w:val="45"/>
        <w:ind w:right="1680"/>
        <w:jc w:val="right"/>
        <w:rPr>
          <w:rFonts w:hint="eastAsia" w:ascii="楷体_GB2312" w:hAnsi="楷体" w:eastAsia="楷体_GB2312" w:cs="Times New Roman"/>
          <w:color w:val="auto"/>
          <w:kern w:val="2"/>
          <w:highlight w:val="none"/>
        </w:rPr>
      </w:pPr>
    </w:p>
    <w:p w14:paraId="4EBF28D6">
      <w:pPr>
        <w:pStyle w:val="45"/>
        <w:ind w:right="1680"/>
        <w:jc w:val="right"/>
        <w:rPr>
          <w:rFonts w:hint="eastAsia" w:ascii="楷体_GB2312" w:hAnsi="楷体" w:eastAsia="楷体_GB2312" w:cs="Times New Roman"/>
          <w:color w:val="auto"/>
          <w:kern w:val="2"/>
          <w:highlight w:val="none"/>
        </w:rPr>
      </w:pPr>
    </w:p>
    <w:p w14:paraId="72D67B11">
      <w:pPr>
        <w:pStyle w:val="45"/>
        <w:ind w:right="1680"/>
        <w:jc w:val="right"/>
        <w:rPr>
          <w:rFonts w:hint="eastAsia" w:ascii="楷体_GB2312" w:hAnsi="楷体" w:eastAsia="楷体_GB2312" w:cs="Times New Roman"/>
          <w:color w:val="auto"/>
          <w:kern w:val="2"/>
          <w:highlight w:val="none"/>
        </w:rPr>
      </w:pPr>
    </w:p>
    <w:p w14:paraId="02A3D385">
      <w:pPr>
        <w:pStyle w:val="45"/>
        <w:ind w:right="1680"/>
        <w:jc w:val="right"/>
        <w:rPr>
          <w:rFonts w:hint="eastAsia" w:ascii="楷体_GB2312" w:hAnsi="楷体" w:eastAsia="楷体_GB2312" w:cs="Times New Roman"/>
          <w:color w:val="auto"/>
          <w:kern w:val="2"/>
          <w:highlight w:val="none"/>
        </w:rPr>
      </w:pPr>
    </w:p>
    <w:p w14:paraId="165D5C26">
      <w:pPr>
        <w:pStyle w:val="45"/>
        <w:ind w:right="1680"/>
        <w:jc w:val="right"/>
        <w:rPr>
          <w:rFonts w:hint="eastAsia" w:ascii="楷体_GB2312" w:hAnsi="楷体" w:eastAsia="楷体_GB2312" w:cs="Times New Roman"/>
          <w:color w:val="auto"/>
          <w:kern w:val="2"/>
          <w:highlight w:val="none"/>
        </w:rPr>
      </w:pPr>
    </w:p>
    <w:p w14:paraId="52D375BA">
      <w:pPr>
        <w:pStyle w:val="45"/>
        <w:ind w:right="1680"/>
        <w:jc w:val="right"/>
        <w:rPr>
          <w:rFonts w:hint="eastAsia" w:ascii="楷体_GB2312" w:hAnsi="楷体" w:eastAsia="楷体_GB2312" w:cs="Times New Roman"/>
          <w:color w:val="auto"/>
          <w:kern w:val="2"/>
          <w:highlight w:val="none"/>
        </w:rPr>
      </w:pPr>
    </w:p>
    <w:p w14:paraId="18D28634">
      <w:pPr>
        <w:pStyle w:val="45"/>
        <w:ind w:right="1680"/>
        <w:jc w:val="right"/>
        <w:rPr>
          <w:rFonts w:hint="eastAsia" w:ascii="楷体_GB2312" w:hAnsi="楷体" w:eastAsia="楷体_GB2312" w:cs="Times New Roman"/>
          <w:color w:val="auto"/>
          <w:kern w:val="2"/>
          <w:highlight w:val="none"/>
        </w:rPr>
      </w:pPr>
    </w:p>
    <w:p w14:paraId="07D68F7D">
      <w:pPr>
        <w:pStyle w:val="45"/>
        <w:ind w:right="1680"/>
        <w:jc w:val="right"/>
        <w:rPr>
          <w:rFonts w:hint="eastAsia" w:ascii="楷体_GB2312" w:hAnsi="楷体" w:eastAsia="楷体_GB2312" w:cs="Times New Roman"/>
          <w:color w:val="auto"/>
          <w:kern w:val="2"/>
          <w:highlight w:val="none"/>
        </w:rPr>
      </w:pPr>
    </w:p>
    <w:p w14:paraId="1ECFE5F2">
      <w:pPr>
        <w:pStyle w:val="45"/>
        <w:ind w:right="1680"/>
        <w:jc w:val="right"/>
        <w:rPr>
          <w:rFonts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机构投资者（盖章）：</w:t>
      </w:r>
    </w:p>
    <w:p w14:paraId="141E5581">
      <w:pPr>
        <w:pStyle w:val="45"/>
        <w:ind w:right="480" w:firstLine="0" w:firstLineChars="0"/>
        <w:jc w:val="both"/>
        <w:rPr>
          <w:rFonts w:hint="eastAsia"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机构投资者法定代表人</w:t>
      </w:r>
      <w:r>
        <w:rPr>
          <w:rFonts w:hint="eastAsia" w:ascii="楷体_GB2312" w:hAnsi="楷体" w:eastAsia="楷体_GB2312" w:cs="Times New Roman"/>
          <w:color w:val="auto"/>
          <w:kern w:val="2"/>
          <w:szCs w:val="24"/>
          <w:highlight w:val="none"/>
        </w:rPr>
        <w:t>（或负责人）</w:t>
      </w:r>
      <w:r>
        <w:rPr>
          <w:rFonts w:hint="eastAsia" w:ascii="楷体_GB2312" w:hAnsi="楷体" w:eastAsia="楷体_GB2312" w:cs="Times New Roman"/>
          <w:color w:val="auto"/>
          <w:kern w:val="2"/>
          <w:highlight w:val="none"/>
        </w:rPr>
        <w:t>或授权代表（签名或盖章）：</w:t>
      </w:r>
    </w:p>
    <w:p w14:paraId="1FEDA989">
      <w:pPr>
        <w:pStyle w:val="45"/>
        <w:ind w:right="480" w:firstLine="1200" w:firstLineChars="500"/>
        <w:jc w:val="both"/>
        <w:rPr>
          <w:rFonts w:ascii="黑体" w:eastAsia="黑体"/>
          <w:b/>
          <w:bCs/>
          <w:sz w:val="30"/>
          <w:szCs w:val="30"/>
          <w:highlight w:val="none"/>
        </w:rPr>
      </w:pPr>
      <w:r>
        <w:rPr>
          <w:rFonts w:hint="eastAsia" w:ascii="楷体_GB2312" w:hAnsi="楷体" w:eastAsia="楷体_GB2312" w:cs="Times New Roman"/>
          <w:color w:val="auto"/>
          <w:kern w:val="2"/>
          <w:highlight w:val="none"/>
        </w:rPr>
        <w:t xml:space="preserve">                                       日期：</w:t>
      </w:r>
    </w:p>
    <w:p w14:paraId="5EC84A19">
      <w:pPr>
        <w:tabs>
          <w:tab w:val="left" w:pos="915"/>
          <w:tab w:val="center" w:pos="5273"/>
        </w:tabs>
        <w:spacing w:before="50"/>
        <w:jc w:val="center"/>
        <w:rPr>
          <w:rFonts w:ascii="黑体" w:eastAsia="黑体"/>
          <w:b/>
          <w:bCs/>
          <w:color w:val="000000"/>
          <w:sz w:val="30"/>
          <w:szCs w:val="30"/>
          <w:highlight w:val="none"/>
        </w:rPr>
      </w:pPr>
      <w:r>
        <w:rPr>
          <w:rFonts w:ascii="黑体" w:eastAsia="黑体"/>
          <w:b/>
          <w:bCs/>
          <w:color w:val="000000"/>
          <w:sz w:val="30"/>
          <w:szCs w:val="30"/>
          <w:highlight w:val="none"/>
        </w:rPr>
        <w:br w:type="page"/>
      </w:r>
      <w:r>
        <w:rPr>
          <w:rFonts w:hint="eastAsia" w:ascii="黑体" w:eastAsia="黑体"/>
          <w:b/>
          <w:bCs/>
          <w:color w:val="000000"/>
          <w:sz w:val="30"/>
          <w:szCs w:val="30"/>
          <w:highlight w:val="none"/>
          <w:lang w:eastAsia="zh-CN"/>
        </w:rPr>
        <w:t>北银理财京华远见春系列卓远固收封闭式290号</w:t>
      </w:r>
      <w:r>
        <w:rPr>
          <w:rFonts w:hint="eastAsia" w:ascii="黑体" w:eastAsia="黑体"/>
          <w:b/>
          <w:bCs/>
          <w:color w:val="000000"/>
          <w:sz w:val="30"/>
          <w:szCs w:val="30"/>
          <w:highlight w:val="none"/>
        </w:rPr>
        <w:t>理财产品</w:t>
      </w:r>
    </w:p>
    <w:p w14:paraId="615DF71C">
      <w:pPr>
        <w:tabs>
          <w:tab w:val="left" w:pos="915"/>
          <w:tab w:val="center" w:pos="5273"/>
        </w:tabs>
        <w:spacing w:before="50"/>
        <w:jc w:val="center"/>
        <w:rPr>
          <w:rFonts w:ascii="黑体" w:eastAsia="黑体"/>
          <w:bCs/>
          <w:color w:val="000000"/>
          <w:sz w:val="30"/>
          <w:szCs w:val="30"/>
          <w:highlight w:val="none"/>
        </w:rPr>
      </w:pPr>
      <w:r>
        <w:rPr>
          <w:rFonts w:hint="eastAsia" w:ascii="黑体" w:eastAsia="黑体"/>
          <w:b/>
          <w:bCs/>
          <w:color w:val="auto"/>
          <w:sz w:val="30"/>
          <w:szCs w:val="30"/>
          <w:highlight w:val="none"/>
          <w:lang w:val="en-US" w:eastAsia="zh-CN"/>
        </w:rPr>
        <w:t>理财产品</w:t>
      </w:r>
      <w:r>
        <w:rPr>
          <w:rFonts w:hint="eastAsia" w:ascii="黑体" w:eastAsia="黑体"/>
          <w:b/>
          <w:bCs/>
          <w:color w:val="auto"/>
          <w:sz w:val="30"/>
          <w:szCs w:val="30"/>
          <w:highlight w:val="none"/>
        </w:rPr>
        <w:t>投资</w:t>
      </w:r>
      <w:r>
        <w:rPr>
          <w:rFonts w:hint="eastAsia" w:ascii="黑体" w:eastAsia="黑体"/>
          <w:b/>
          <w:bCs/>
          <w:color w:val="000000"/>
          <w:sz w:val="30"/>
          <w:szCs w:val="30"/>
          <w:highlight w:val="none"/>
        </w:rPr>
        <w:t>协议书</w:t>
      </w:r>
    </w:p>
    <w:p w14:paraId="5130FFD2">
      <w:pPr>
        <w:ind w:firstLine="482" w:firstLineChars="200"/>
        <w:rPr>
          <w:rFonts w:hint="eastAsia" w:ascii="楷体_GB2312" w:hAnsi="楷体" w:eastAsia="楷体_GB2312" w:cs="Times New Roman"/>
          <w:b/>
          <w:bCs/>
          <w:color w:val="auto"/>
          <w:sz w:val="24"/>
          <w:highlight w:val="none"/>
          <w:lang w:eastAsia="zh-CN"/>
        </w:rPr>
      </w:pPr>
      <w:r>
        <w:rPr>
          <w:rFonts w:ascii="楷体_GB2312" w:hAnsi="楷体" w:eastAsia="楷体_GB2312" w:cs="Times New Roman"/>
          <w:b/>
          <w:bCs/>
          <w:color w:val="auto"/>
          <w:sz w:val="24"/>
          <w:highlight w:val="none"/>
        </w:rPr>
        <w:t>本</w:t>
      </w:r>
      <w:r>
        <w:rPr>
          <w:rFonts w:hint="eastAsia" w:ascii="楷体_GB2312" w:hAnsi="楷体" w:eastAsia="楷体_GB2312" w:cs="Times New Roman"/>
          <w:b/>
          <w:bCs/>
          <w:color w:val="auto"/>
          <w:sz w:val="24"/>
          <w:highlight w:val="none"/>
          <w:lang w:val="en-US" w:eastAsia="zh-CN"/>
        </w:rPr>
        <w:t>理财产品</w:t>
      </w:r>
      <w:r>
        <w:rPr>
          <w:rFonts w:hint="eastAsia" w:ascii="楷体_GB2312" w:hAnsi="楷体" w:eastAsia="楷体_GB2312" w:cs="Times New Roman"/>
          <w:b/>
          <w:bCs/>
          <w:color w:val="auto"/>
          <w:sz w:val="24"/>
          <w:highlight w:val="none"/>
        </w:rPr>
        <w:t>销售文件</w:t>
      </w:r>
      <w:r>
        <w:rPr>
          <w:rFonts w:hint="eastAsia" w:ascii="楷体_GB2312" w:hAnsi="楷体" w:eastAsia="楷体_GB2312" w:cs="Times New Roman"/>
          <w:b/>
          <w:bCs/>
          <w:color w:val="auto"/>
          <w:sz w:val="24"/>
          <w:highlight w:val="none"/>
          <w:lang w:val="en-US" w:eastAsia="zh-CN"/>
        </w:rPr>
        <w:t>包括《</w:t>
      </w:r>
      <w:r>
        <w:rPr>
          <w:rFonts w:hint="eastAsia" w:ascii="楷体_GB2312" w:hAnsi="楷体" w:eastAsia="楷体_GB2312" w:cs="Times New Roman"/>
          <w:b/>
          <w:bCs/>
          <w:color w:val="auto"/>
          <w:sz w:val="24"/>
          <w:highlight w:val="none"/>
        </w:rPr>
        <w:t>理财产品投资协议书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理财产品说明书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风险揭示书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w:t>
      </w:r>
      <w:r>
        <w:rPr>
          <w:rFonts w:hint="eastAsia" w:ascii="楷体_GB2312" w:hAnsi="楷体" w:eastAsia="楷体_GB2312" w:cs="Times New Roman"/>
          <w:b/>
          <w:bCs/>
          <w:color w:val="auto"/>
          <w:sz w:val="24"/>
          <w:highlight w:val="none"/>
        </w:rPr>
        <w:t>投资者权益须知</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和《代理销售</w:t>
      </w:r>
      <w:r>
        <w:rPr>
          <w:rFonts w:hint="eastAsia" w:ascii="楷体_GB2312" w:hAnsi="楷体" w:eastAsia="楷体_GB2312" w:cs="Times New Roman"/>
          <w:b/>
          <w:bCs/>
          <w:color w:val="auto"/>
          <w:sz w:val="24"/>
          <w:highlight w:val="none"/>
        </w:rPr>
        <w:t>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具体名称以代销机构为准</w:t>
      </w:r>
      <w:r>
        <w:rPr>
          <w:rFonts w:hint="eastAsia" w:ascii="楷体_GB2312" w:hAnsi="楷体" w:eastAsia="楷体_GB2312" w:cs="Times New Roman"/>
          <w:b/>
          <w:bCs/>
          <w:color w:val="auto"/>
          <w:sz w:val="24"/>
          <w:highlight w:val="none"/>
          <w:lang w:eastAsia="zh-CN"/>
        </w:rPr>
        <w:t>）。</w:t>
      </w:r>
      <w:r>
        <w:rPr>
          <w:rFonts w:ascii="楷体_GB2312" w:hAnsi="楷体" w:eastAsia="楷体_GB2312" w:cs="Times New Roman"/>
          <w:b/>
          <w:bCs/>
          <w:color w:val="auto"/>
          <w:sz w:val="24"/>
          <w:highlight w:val="none"/>
        </w:rPr>
        <w:t>在选择购买</w:t>
      </w:r>
      <w:r>
        <w:rPr>
          <w:rFonts w:hint="eastAsia" w:ascii="楷体_GB2312" w:hAnsi="楷体" w:eastAsia="楷体_GB2312" w:cs="Times New Roman"/>
          <w:b/>
          <w:bCs/>
          <w:color w:val="auto"/>
          <w:sz w:val="24"/>
          <w:highlight w:val="none"/>
          <w:lang w:val="en-US" w:eastAsia="zh-CN"/>
        </w:rPr>
        <w:t>本</w:t>
      </w:r>
      <w:r>
        <w:rPr>
          <w:rFonts w:ascii="楷体_GB2312" w:hAnsi="楷体" w:eastAsia="楷体_GB2312" w:cs="Times New Roman"/>
          <w:b/>
          <w:bCs/>
          <w:color w:val="auto"/>
          <w:sz w:val="24"/>
          <w:highlight w:val="none"/>
        </w:rPr>
        <w:t>理财产品前，请注意投资风险，仔细阅读本</w:t>
      </w:r>
      <w:r>
        <w:rPr>
          <w:rFonts w:hint="eastAsia" w:ascii="楷体_GB2312" w:hAnsi="楷体" w:eastAsia="楷体_GB2312" w:cs="Times New Roman"/>
          <w:b/>
          <w:bCs/>
          <w:color w:val="auto"/>
          <w:sz w:val="24"/>
          <w:highlight w:val="none"/>
          <w:lang w:val="en-US" w:eastAsia="zh-CN"/>
        </w:rPr>
        <w:t>理财产品</w:t>
      </w:r>
      <w:r>
        <w:rPr>
          <w:rFonts w:hint="eastAsia" w:ascii="楷体_GB2312" w:hAnsi="楷体" w:eastAsia="楷体_GB2312" w:cs="Times New Roman"/>
          <w:b/>
          <w:bCs/>
          <w:color w:val="auto"/>
          <w:sz w:val="24"/>
          <w:highlight w:val="none"/>
        </w:rPr>
        <w:t>销售文件</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特别是加黑及加“★”标识、以及有关责任或权利限制的条款</w:t>
      </w:r>
      <w:r>
        <w:rPr>
          <w:rFonts w:hint="eastAsia" w:ascii="楷体_GB2312" w:hAnsi="楷体" w:eastAsia="楷体_GB2312" w:cs="Times New Roman"/>
          <w:b/>
          <w:bCs/>
          <w:color w:val="auto"/>
          <w:sz w:val="24"/>
          <w:highlight w:val="none"/>
          <w:lang w:eastAsia="zh-CN"/>
        </w:rPr>
        <w:t>，</w:t>
      </w:r>
      <w:r>
        <w:rPr>
          <w:rFonts w:ascii="楷体_GB2312" w:hAnsi="宋体" w:eastAsia="楷体_GB2312"/>
          <w:b/>
          <w:bCs/>
          <w:color w:val="000000"/>
          <w:sz w:val="24"/>
          <w:highlight w:val="none"/>
        </w:rPr>
        <w:t>投资者若对本</w:t>
      </w:r>
      <w:r>
        <w:rPr>
          <w:rFonts w:hint="eastAsia" w:ascii="楷体_GB2312" w:hAnsi="宋体" w:eastAsia="楷体_GB2312"/>
          <w:b/>
          <w:bCs/>
          <w:color w:val="000000"/>
          <w:sz w:val="24"/>
          <w:highlight w:val="none"/>
        </w:rPr>
        <w:t>理财产品销售文件</w:t>
      </w:r>
      <w:r>
        <w:rPr>
          <w:rFonts w:ascii="楷体_GB2312" w:hAnsi="宋体" w:eastAsia="楷体_GB2312"/>
          <w:b/>
          <w:bCs/>
          <w:color w:val="000000"/>
          <w:sz w:val="24"/>
          <w:highlight w:val="none"/>
        </w:rPr>
        <w:t>的内容有任何疑问，请向</w:t>
      </w:r>
      <w:r>
        <w:rPr>
          <w:rFonts w:hint="eastAsia" w:ascii="楷体_GB2312" w:hAnsi="宋体" w:eastAsia="楷体_GB2312"/>
          <w:b/>
          <w:bCs/>
          <w:color w:val="000000"/>
          <w:sz w:val="24"/>
          <w:highlight w:val="none"/>
          <w:lang w:eastAsia="zh-CN"/>
        </w:rPr>
        <w:t>产品管理人</w:t>
      </w:r>
      <w:r>
        <w:rPr>
          <w:rFonts w:ascii="楷体_GB2312" w:hAnsi="宋体" w:eastAsia="楷体_GB2312"/>
          <w:b/>
          <w:bCs/>
          <w:color w:val="000000"/>
          <w:sz w:val="24"/>
          <w:highlight w:val="none"/>
        </w:rPr>
        <w:t>或向</w:t>
      </w:r>
      <w:r>
        <w:rPr>
          <w:rFonts w:hint="eastAsia" w:ascii="楷体_GB2312" w:hAnsi="楷体" w:eastAsia="楷体_GB2312"/>
          <w:b/>
          <w:bCs/>
          <w:sz w:val="24"/>
          <w:highlight w:val="none"/>
        </w:rPr>
        <w:t>代理销售机构</w:t>
      </w:r>
      <w:r>
        <w:rPr>
          <w:rFonts w:ascii="楷体_GB2312" w:hAnsi="宋体" w:eastAsia="楷体_GB2312"/>
          <w:b/>
          <w:bCs/>
          <w:color w:val="000000"/>
          <w:sz w:val="24"/>
          <w:highlight w:val="none"/>
        </w:rPr>
        <w:t>各营业网点咨询。</w:t>
      </w:r>
    </w:p>
    <w:p w14:paraId="454DD8A1">
      <w:pPr>
        <w:ind w:firstLine="480" w:firstLineChars="200"/>
        <w:rPr>
          <w:rFonts w:ascii="楷体_GB2312" w:hAnsi="楷体" w:eastAsia="楷体_GB2312" w:cs="Times New Roman"/>
          <w:sz w:val="24"/>
          <w:highlight w:val="none"/>
        </w:rPr>
      </w:pPr>
      <w:r>
        <w:rPr>
          <w:rFonts w:hint="default" w:ascii="楷体_GB2312" w:hAnsi="楷体" w:eastAsia="楷体_GB2312" w:cs="Times New Roman"/>
          <w:sz w:val="24"/>
          <w:highlight w:val="none"/>
        </w:rPr>
        <w:t>北银</w:t>
      </w:r>
      <w:r>
        <w:rPr>
          <w:rFonts w:hint="eastAsia" w:ascii="楷体_GB2312" w:hAnsi="楷体" w:eastAsia="楷体_GB2312" w:cs="Times New Roman"/>
          <w:sz w:val="24"/>
          <w:highlight w:val="none"/>
        </w:rPr>
        <w:t>理财有限责任公司（以下简称“</w:t>
      </w:r>
      <w:r>
        <w:rPr>
          <w:rFonts w:hint="default" w:ascii="楷体_GB2312" w:hAnsi="楷体" w:eastAsia="楷体_GB2312" w:cs="Times New Roman"/>
          <w:sz w:val="24"/>
          <w:highlight w:val="none"/>
        </w:rPr>
        <w:t>北银</w:t>
      </w:r>
      <w:r>
        <w:rPr>
          <w:rFonts w:hint="eastAsia" w:ascii="楷体_GB2312" w:hAnsi="楷体" w:eastAsia="楷体_GB2312" w:cs="Times New Roman"/>
          <w:sz w:val="24"/>
          <w:highlight w:val="none"/>
        </w:rPr>
        <w:t>理财”或“产品管理人”）与其发行理财产品的投资者经平等友好协商，本着自愿、诚实信用的原则，就</w:t>
      </w:r>
      <w:r>
        <w:rPr>
          <w:rFonts w:hint="default" w:ascii="楷体_GB2312" w:hAnsi="楷体" w:eastAsia="楷体_GB2312" w:cs="Times New Roman"/>
          <w:sz w:val="24"/>
          <w:highlight w:val="none"/>
        </w:rPr>
        <w:t>北</w:t>
      </w:r>
      <w:r>
        <w:rPr>
          <w:rFonts w:hint="eastAsia" w:ascii="楷体_GB2312" w:hAnsi="楷体" w:eastAsia="楷体_GB2312" w:cs="Times New Roman"/>
          <w:sz w:val="24"/>
          <w:highlight w:val="none"/>
        </w:rPr>
        <w:t>银理财向投资者提供的</w:t>
      </w:r>
      <w:r>
        <w:rPr>
          <w:rFonts w:hint="default" w:ascii="楷体_GB2312" w:hAnsi="楷体" w:eastAsia="楷体_GB2312" w:cs="Times New Roman"/>
          <w:sz w:val="24"/>
          <w:highlight w:val="none"/>
          <w:lang w:val="en-US" w:eastAsia="zh-CN"/>
        </w:rPr>
        <w:t>本</w:t>
      </w:r>
      <w:r>
        <w:rPr>
          <w:rFonts w:hint="eastAsia" w:ascii="楷体_GB2312" w:hAnsi="楷体" w:eastAsia="楷体_GB2312" w:cs="Times New Roman"/>
          <w:sz w:val="24"/>
          <w:highlight w:val="none"/>
        </w:rPr>
        <w:t>理财</w:t>
      </w:r>
      <w:r>
        <w:rPr>
          <w:rFonts w:hint="default" w:ascii="楷体_GB2312" w:hAnsi="楷体" w:eastAsia="楷体_GB2312" w:cs="Times New Roman"/>
          <w:sz w:val="24"/>
          <w:highlight w:val="none"/>
        </w:rPr>
        <w:t>产</w:t>
      </w:r>
      <w:r>
        <w:rPr>
          <w:rFonts w:hint="eastAsia" w:ascii="楷体_GB2312" w:hAnsi="楷体" w:eastAsia="楷体_GB2312" w:cs="Times New Roman"/>
          <w:sz w:val="24"/>
          <w:highlight w:val="none"/>
        </w:rPr>
        <w:t>品，达成</w:t>
      </w:r>
      <w:r>
        <w:rPr>
          <w:rFonts w:hint="eastAsia" w:ascii="楷体_GB2312" w:hAnsi="楷体" w:eastAsia="楷体_GB2312" w:cs="Times New Roman"/>
          <w:sz w:val="24"/>
          <w:highlight w:val="none"/>
          <w:lang w:val="en-US" w:eastAsia="zh-CN"/>
        </w:rPr>
        <w:t>本《</w:t>
      </w:r>
      <w:r>
        <w:rPr>
          <w:rFonts w:hint="default" w:ascii="楷体_GB2312" w:hAnsi="楷体" w:eastAsia="楷体_GB2312" w:cs="Times New Roman"/>
          <w:sz w:val="24"/>
          <w:highlight w:val="none"/>
          <w:lang w:eastAsia="zh-CN"/>
        </w:rPr>
        <w:t>理财产品投资协议书</w:t>
      </w:r>
      <w:r>
        <w:rPr>
          <w:rFonts w:hint="eastAsia" w:ascii="楷体_GB2312" w:hAnsi="楷体" w:eastAsia="楷体_GB2312" w:cs="Times New Roman"/>
          <w:sz w:val="24"/>
          <w:highlight w:val="none"/>
          <w:lang w:eastAsia="zh-CN"/>
        </w:rPr>
        <w:t>》</w:t>
      </w:r>
      <w:r>
        <w:rPr>
          <w:rFonts w:hint="eastAsia" w:ascii="楷体_GB2312" w:hAnsi="楷体" w:eastAsia="楷体_GB2312" w:cs="Times New Roman"/>
          <w:sz w:val="24"/>
          <w:highlight w:val="none"/>
        </w:rPr>
        <w:t>（以下简称“本协议”）。本协议</w:t>
      </w:r>
      <w:r>
        <w:rPr>
          <w:rFonts w:hint="eastAsia" w:ascii="楷体_GB2312" w:hAnsi="宋体" w:eastAsia="楷体_GB2312"/>
          <w:color w:val="000000"/>
          <w:sz w:val="24"/>
          <w:highlight w:val="none"/>
        </w:rPr>
        <w:t>以及对</w:t>
      </w:r>
      <w:r>
        <w:rPr>
          <w:rFonts w:hint="eastAsia" w:ascii="楷体_GB2312" w:hAnsi="宋体" w:eastAsia="楷体_GB2312"/>
          <w:color w:val="000000"/>
          <w:sz w:val="24"/>
          <w:highlight w:val="none"/>
          <w:lang w:val="en-US" w:eastAsia="zh-CN"/>
        </w:rPr>
        <w:t>本协议</w:t>
      </w:r>
      <w:r>
        <w:rPr>
          <w:rFonts w:hint="eastAsia" w:ascii="楷体_GB2312" w:hAnsi="宋体" w:eastAsia="楷体_GB2312"/>
          <w:color w:val="000000"/>
          <w:sz w:val="24"/>
          <w:highlight w:val="none"/>
        </w:rPr>
        <w:t>的有效修改或补充</w:t>
      </w:r>
      <w:r>
        <w:rPr>
          <w:rFonts w:hint="eastAsia" w:ascii="楷体_GB2312" w:hAnsi="楷体" w:eastAsia="楷体_GB2312" w:cs="Times New Roman"/>
          <w:sz w:val="24"/>
          <w:highlight w:val="none"/>
          <w:lang w:val="en-US" w:eastAsia="zh-CN"/>
        </w:rPr>
        <w:t>构成</w:t>
      </w:r>
      <w:r>
        <w:rPr>
          <w:rFonts w:hint="default" w:ascii="楷体_GB2312" w:hAnsi="楷体" w:eastAsia="楷体_GB2312" w:cs="Times New Roman"/>
          <w:sz w:val="24"/>
          <w:highlight w:val="none"/>
          <w:lang w:val="en-US" w:eastAsia="zh-CN"/>
        </w:rPr>
        <w:t>本</w:t>
      </w:r>
      <w:r>
        <w:rPr>
          <w:rFonts w:hint="eastAsia" w:ascii="楷体_GB2312" w:hAnsi="楷体" w:eastAsia="楷体_GB2312" w:cs="Times New Roman"/>
          <w:sz w:val="24"/>
          <w:highlight w:val="none"/>
        </w:rPr>
        <w:t>理财产品</w:t>
      </w:r>
      <w:r>
        <w:rPr>
          <w:rFonts w:hint="default" w:ascii="楷体_GB2312" w:hAnsi="楷体" w:eastAsia="楷体_GB2312" w:cs="Times New Roman"/>
          <w:sz w:val="24"/>
          <w:highlight w:val="none"/>
          <w:lang w:val="en-US" w:eastAsia="zh-CN"/>
        </w:rPr>
        <w:t>销售文件</w:t>
      </w:r>
      <w:r>
        <w:rPr>
          <w:rFonts w:ascii="楷体_GB2312" w:hAnsi="楷体" w:eastAsia="楷体_GB2312" w:cs="Times New Roman"/>
          <w:sz w:val="24"/>
          <w:highlight w:val="none"/>
        </w:rPr>
        <w:t>不可分割之组成部分</w:t>
      </w:r>
      <w:r>
        <w:rPr>
          <w:rFonts w:hint="eastAsia" w:ascii="楷体_GB2312" w:hAnsi="楷体" w:eastAsia="楷体_GB2312" w:cs="Times New Roman"/>
          <w:sz w:val="24"/>
          <w:highlight w:val="none"/>
        </w:rPr>
        <w:t>：</w:t>
      </w:r>
    </w:p>
    <w:p w14:paraId="104C3D53">
      <w:pPr>
        <w:ind w:firstLine="480" w:firstLineChars="200"/>
        <w:rPr>
          <w:rFonts w:ascii="楷体_GB2312" w:hAnsi="楷体" w:eastAsia="楷体_GB2312"/>
          <w:sz w:val="24"/>
          <w:highlight w:val="none"/>
        </w:rPr>
      </w:pPr>
      <w:r>
        <w:rPr>
          <w:rFonts w:ascii="楷体_GB2312" w:hAnsi="楷体" w:eastAsia="楷体_GB2312"/>
          <w:sz w:val="24"/>
          <w:highlight w:val="none"/>
        </w:rPr>
        <w:t xml:space="preserve">一、双方权利和义务 </w:t>
      </w:r>
    </w:p>
    <w:p w14:paraId="034DB538">
      <w:pPr>
        <w:ind w:firstLine="480" w:firstLineChars="200"/>
        <w:rPr>
          <w:rFonts w:ascii="楷体_GB2312" w:hAnsi="楷体" w:eastAsia="楷体_GB2312"/>
          <w:sz w:val="24"/>
          <w:highlight w:val="none"/>
        </w:rPr>
      </w:pPr>
      <w:r>
        <w:rPr>
          <w:rFonts w:ascii="楷体_GB2312" w:hAnsi="楷体" w:eastAsia="楷体_GB2312"/>
          <w:sz w:val="24"/>
          <w:highlight w:val="none"/>
        </w:rPr>
        <w:t>（一）产品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声明与保证</w:t>
      </w:r>
    </w:p>
    <w:p w14:paraId="77C70CB8">
      <w:pPr>
        <w:ind w:firstLine="480" w:firstLineChars="200"/>
        <w:rPr>
          <w:rFonts w:ascii="楷体_GB2312" w:hAnsi="楷体" w:eastAsia="楷体_GB2312"/>
          <w:sz w:val="24"/>
          <w:highlight w:val="none"/>
        </w:rPr>
      </w:pPr>
      <w:r>
        <w:rPr>
          <w:rFonts w:hint="eastAsia" w:ascii="楷体_GB2312" w:hAnsi="楷体" w:eastAsia="楷体_GB2312"/>
          <w:sz w:val="24"/>
          <w:highlight w:val="none"/>
        </w:rPr>
        <w:t>1.</w:t>
      </w:r>
      <w:r>
        <w:rPr>
          <w:rFonts w:ascii="楷体_GB2312" w:hAnsi="楷体" w:eastAsia="楷体_GB2312"/>
          <w:sz w:val="24"/>
          <w:highlight w:val="none"/>
        </w:rPr>
        <w:t>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 xml:space="preserve">具有开办理财业务的经营资质，保证以诚实信用、勤勉谨慎的原则管理和运用理财资金。 </w:t>
      </w:r>
    </w:p>
    <w:p w14:paraId="0A31FF23">
      <w:pPr>
        <w:ind w:firstLine="480" w:firstLineChars="200"/>
        <w:rPr>
          <w:rFonts w:ascii="楷体_GB2312" w:hAnsi="楷体" w:eastAsia="楷体_GB2312"/>
          <w:sz w:val="24"/>
          <w:highlight w:val="none"/>
        </w:rPr>
      </w:pPr>
      <w:r>
        <w:rPr>
          <w:rFonts w:hint="eastAsia" w:ascii="楷体_GB2312" w:hAnsi="楷体" w:eastAsia="楷体_GB2312"/>
          <w:sz w:val="24"/>
          <w:highlight w:val="none"/>
        </w:rPr>
        <w:t>2.</w:t>
      </w:r>
      <w:r>
        <w:rPr>
          <w:rFonts w:ascii="楷体_GB2312" w:hAnsi="楷体" w:eastAsia="楷体_GB2312"/>
          <w:sz w:val="24"/>
          <w:highlight w:val="none"/>
        </w:rPr>
        <w:t>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具有完全适当的资格和能力订立与履行本</w:t>
      </w:r>
      <w:r>
        <w:rPr>
          <w:rFonts w:hint="eastAsia" w:ascii="楷体_GB2312" w:hAnsi="楷体" w:eastAsia="楷体_GB2312"/>
          <w:sz w:val="24"/>
          <w:highlight w:val="none"/>
        </w:rPr>
        <w:t>理财产品销售文件</w:t>
      </w:r>
      <w:r>
        <w:rPr>
          <w:rFonts w:ascii="楷体_GB2312" w:hAnsi="楷体" w:eastAsia="楷体_GB2312"/>
          <w:sz w:val="24"/>
          <w:highlight w:val="none"/>
        </w:rPr>
        <w:t>。</w:t>
      </w:r>
    </w:p>
    <w:p w14:paraId="0A8B9A9B">
      <w:pPr>
        <w:ind w:firstLine="480" w:firstLineChars="200"/>
        <w:rPr>
          <w:rFonts w:ascii="楷体_GB2312" w:hAnsi="楷体" w:eastAsia="楷体_GB2312"/>
          <w:sz w:val="24"/>
          <w:highlight w:val="none"/>
        </w:rPr>
      </w:pPr>
      <w:r>
        <w:rPr>
          <w:rFonts w:hint="eastAsia" w:ascii="楷体_GB2312" w:hAnsi="楷体" w:eastAsia="楷体_GB2312"/>
          <w:sz w:val="24"/>
          <w:highlight w:val="none"/>
        </w:rPr>
        <w:t>（二）投资者的声明和承诺</w:t>
      </w:r>
    </w:p>
    <w:p w14:paraId="69141164">
      <w:pPr>
        <w:ind w:firstLine="480" w:firstLineChars="200"/>
        <w:rPr>
          <w:rFonts w:ascii="楷体_GB2312" w:hAnsi="楷体" w:eastAsia="楷体_GB2312"/>
          <w:sz w:val="24"/>
          <w:highlight w:val="none"/>
        </w:rPr>
      </w:pPr>
      <w:bookmarkStart w:id="0" w:name="_Toc220402810"/>
      <w:bookmarkStart w:id="1" w:name="_Toc220402986"/>
      <w:r>
        <w:rPr>
          <w:rFonts w:hint="eastAsia" w:ascii="楷体_GB2312" w:hAnsi="楷体" w:eastAsia="楷体_GB2312"/>
          <w:sz w:val="24"/>
          <w:highlight w:val="none"/>
        </w:rPr>
        <w:t>1.</w:t>
      </w:r>
      <w:r>
        <w:rPr>
          <w:rFonts w:ascii="楷体_GB2312" w:hAnsi="楷体" w:eastAsia="楷体_GB2312"/>
          <w:sz w:val="24"/>
          <w:highlight w:val="none"/>
        </w:rPr>
        <w:t>投资者</w:t>
      </w:r>
      <w:r>
        <w:rPr>
          <w:rFonts w:hint="eastAsia" w:ascii="楷体_GB2312" w:hAnsi="楷体" w:eastAsia="楷体_GB2312"/>
          <w:sz w:val="24"/>
          <w:highlight w:val="none"/>
          <w:lang w:val="en-US" w:eastAsia="zh-CN"/>
        </w:rPr>
        <w:t>承</w:t>
      </w:r>
      <w:r>
        <w:rPr>
          <w:rFonts w:hint="default" w:ascii="楷体_GB2312" w:hAnsi="楷体" w:eastAsia="楷体_GB2312" w:cs="Times New Roman"/>
          <w:sz w:val="24"/>
          <w:highlight w:val="none"/>
          <w:lang w:val="en-US" w:eastAsia="zh-CN"/>
        </w:rPr>
        <w:t>诺</w:t>
      </w:r>
      <w:r>
        <w:rPr>
          <w:rFonts w:hint="eastAsia" w:ascii="楷体_GB2312" w:hAnsi="楷体" w:eastAsia="楷体_GB2312" w:cs="Times New Roman"/>
          <w:kern w:val="2"/>
          <w:sz w:val="24"/>
          <w:highlight w:val="none"/>
          <w:lang w:eastAsia="zh-CN"/>
        </w:rPr>
        <w:t>本人/本公司</w:t>
      </w:r>
      <w:r>
        <w:rPr>
          <w:rFonts w:ascii="楷体_GB2312" w:hAnsi="楷体" w:eastAsia="楷体_GB2312" w:cs="Times New Roman"/>
          <w:sz w:val="24"/>
          <w:highlight w:val="none"/>
        </w:rPr>
        <w:t>为符合</w:t>
      </w:r>
      <w:r>
        <w:rPr>
          <w:rFonts w:ascii="楷体_GB2312" w:hAnsi="楷体" w:eastAsia="楷体_GB2312"/>
          <w:sz w:val="24"/>
          <w:highlight w:val="none"/>
        </w:rPr>
        <w:t>法律法规和监管规定的不特定社会公众，能够自行识别、判断和承担</w:t>
      </w:r>
      <w:r>
        <w:rPr>
          <w:rFonts w:hint="eastAsia" w:ascii="楷体_GB2312" w:hAnsi="楷体" w:eastAsia="楷体_GB2312"/>
          <w:sz w:val="24"/>
          <w:highlight w:val="none"/>
          <w:lang w:val="en-US" w:eastAsia="zh-CN"/>
        </w:rPr>
        <w:t>本</w:t>
      </w:r>
      <w:r>
        <w:rPr>
          <w:rFonts w:ascii="楷体_GB2312" w:hAnsi="楷体" w:eastAsia="楷体_GB2312"/>
          <w:sz w:val="24"/>
          <w:highlight w:val="none"/>
        </w:rPr>
        <w:t>理财产品的相关风险。</w:t>
      </w:r>
    </w:p>
    <w:p w14:paraId="4E09B39E">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2</w:t>
      </w:r>
      <w:r>
        <w:rPr>
          <w:rFonts w:hint="eastAsia" w:ascii="楷体_GB2312" w:hAnsi="楷体" w:eastAsia="楷体_GB2312"/>
          <w:sz w:val="24"/>
          <w:highlight w:val="none"/>
        </w:rPr>
        <w:t>.</w:t>
      </w:r>
      <w:r>
        <w:rPr>
          <w:rFonts w:ascii="楷体_GB2312" w:hAnsi="楷体" w:eastAsia="楷体_GB2312"/>
          <w:sz w:val="24"/>
          <w:highlight w:val="none"/>
        </w:rPr>
        <w:t>投资者</w:t>
      </w:r>
      <w:r>
        <w:rPr>
          <w:rFonts w:hint="eastAsia" w:ascii="楷体_GB2312" w:hAnsi="楷体" w:eastAsia="楷体_GB2312"/>
          <w:sz w:val="24"/>
          <w:highlight w:val="none"/>
          <w:lang w:val="en-US" w:eastAsia="zh-CN"/>
        </w:rPr>
        <w:t>承诺</w:t>
      </w:r>
      <w:r>
        <w:rPr>
          <w:rFonts w:hint="eastAsia" w:ascii="楷体_GB2312" w:hAnsi="楷体" w:eastAsia="楷体_GB2312"/>
          <w:sz w:val="24"/>
          <w:highlight w:val="none"/>
          <w:lang w:eastAsia="zh-CN"/>
        </w:rPr>
        <w:t>具</w:t>
      </w:r>
      <w:r>
        <w:rPr>
          <w:rFonts w:ascii="楷体_GB2312" w:hAnsi="楷体" w:eastAsia="楷体_GB2312"/>
          <w:sz w:val="24"/>
          <w:highlight w:val="none"/>
        </w:rPr>
        <w:t>有完全适当的资格与能力订立并履行本</w:t>
      </w:r>
      <w:r>
        <w:rPr>
          <w:rFonts w:hint="eastAsia" w:ascii="楷体_GB2312" w:hAnsi="楷体" w:eastAsia="楷体_GB2312"/>
          <w:sz w:val="24"/>
          <w:highlight w:val="none"/>
        </w:rPr>
        <w:t>理财产品销售文件</w:t>
      </w:r>
      <w:r>
        <w:rPr>
          <w:rFonts w:ascii="楷体_GB2312" w:hAnsi="楷体" w:eastAsia="楷体_GB2312"/>
          <w:sz w:val="24"/>
          <w:highlight w:val="none"/>
        </w:rPr>
        <w:t>，不存在法律、行政法规、监管要求、国家政策有关规定禁止或限制投资</w:t>
      </w:r>
      <w:r>
        <w:rPr>
          <w:rFonts w:hint="eastAsia" w:ascii="楷体_GB2312" w:hAnsi="楷体" w:eastAsia="楷体_GB2312"/>
          <w:sz w:val="24"/>
          <w:highlight w:val="none"/>
          <w:lang w:eastAsia="zh-CN"/>
        </w:rPr>
        <w:t>本</w:t>
      </w:r>
      <w:r>
        <w:rPr>
          <w:rFonts w:ascii="楷体_GB2312" w:hAnsi="楷体" w:eastAsia="楷体_GB2312"/>
          <w:sz w:val="24"/>
          <w:highlight w:val="none"/>
        </w:rPr>
        <w:t>理财产品的情形。</w:t>
      </w:r>
    </w:p>
    <w:p w14:paraId="65CFF410">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3</w:t>
      </w:r>
      <w:r>
        <w:rPr>
          <w:rFonts w:hint="eastAsia" w:ascii="楷体_GB2312" w:hAnsi="楷体" w:eastAsia="楷体_GB2312"/>
          <w:sz w:val="24"/>
          <w:highlight w:val="none"/>
        </w:rPr>
        <w:t>.</w:t>
      </w:r>
      <w:r>
        <w:rPr>
          <w:rFonts w:ascii="楷体_GB2312" w:hAnsi="楷体" w:eastAsia="楷体_GB2312"/>
          <w:sz w:val="24"/>
          <w:highlight w:val="none"/>
        </w:rPr>
        <w:t>投资者</w:t>
      </w:r>
      <w:r>
        <w:rPr>
          <w:rFonts w:hint="eastAsia" w:ascii="楷体_GB2312" w:hAnsi="楷体" w:eastAsia="楷体_GB2312"/>
          <w:sz w:val="24"/>
          <w:highlight w:val="none"/>
          <w:lang w:val="en-US" w:eastAsia="zh-CN"/>
        </w:rPr>
        <w:t>承诺</w:t>
      </w:r>
      <w:r>
        <w:rPr>
          <w:rFonts w:ascii="楷体_GB2312" w:hAnsi="楷体" w:eastAsia="楷体_GB2312"/>
          <w:sz w:val="24"/>
          <w:highlight w:val="none"/>
        </w:rPr>
        <w:t>以真实身份投资本理财产品，保证提供给产品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和</w:t>
      </w:r>
      <w:r>
        <w:rPr>
          <w:rFonts w:hint="eastAsia" w:ascii="楷体_GB2312" w:hAnsi="楷体" w:eastAsia="楷体_GB2312"/>
          <w:sz w:val="24"/>
          <w:highlight w:val="none"/>
          <w:lang w:val="en-US" w:eastAsia="zh-CN"/>
        </w:rPr>
        <w:t>代理销售</w:t>
      </w:r>
      <w:r>
        <w:rPr>
          <w:rFonts w:ascii="楷体_GB2312" w:hAnsi="楷体" w:eastAsia="楷体_GB2312"/>
          <w:sz w:val="24"/>
          <w:highlight w:val="none"/>
        </w:rPr>
        <w:t>机构的信息和资料均真实、准确、完整、合法、有效。如投资者的信息和/或资料发生变更，应当及时书面告知产品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w:t>
      </w:r>
      <w:r>
        <w:rPr>
          <w:rFonts w:ascii="楷体_GB2312" w:hAnsi="楷体" w:eastAsia="楷体_GB2312"/>
          <w:sz w:val="24"/>
          <w:highlight w:val="none"/>
        </w:rPr>
        <w:t xml:space="preserve">。 </w:t>
      </w:r>
    </w:p>
    <w:p w14:paraId="741E072C">
      <w:pPr>
        <w:ind w:firstLine="482" w:firstLineChars="200"/>
        <w:rPr>
          <w:rFonts w:ascii="楷体_GB2312" w:hAnsi="楷体" w:eastAsia="楷体_GB2312"/>
          <w:b/>
          <w:bCs/>
          <w:sz w:val="24"/>
          <w:highlight w:val="none"/>
        </w:rPr>
      </w:pPr>
      <w:r>
        <w:rPr>
          <w:rFonts w:ascii="楷体_GB2312" w:hAnsi="楷体" w:eastAsia="楷体_GB2312"/>
          <w:b/>
          <w:bCs/>
          <w:sz w:val="24"/>
          <w:highlight w:val="none"/>
        </w:rPr>
        <w:t>若投资者未及时办理相关变更手续，由此导致的一切后果由投资者自行承 担，</w:t>
      </w:r>
      <w:r>
        <w:rPr>
          <w:rFonts w:hint="eastAsia" w:ascii="楷体_GB2312" w:hAnsi="楷体" w:eastAsia="楷体_GB2312"/>
          <w:b/>
          <w:bCs/>
          <w:sz w:val="24"/>
          <w:highlight w:val="none"/>
          <w:lang w:eastAsia="zh-CN"/>
        </w:rPr>
        <w:t>产品管理人</w:t>
      </w:r>
      <w:r>
        <w:rPr>
          <w:rFonts w:ascii="楷体_GB2312" w:hAnsi="楷体" w:eastAsia="楷体_GB2312"/>
          <w:b/>
          <w:bCs/>
          <w:sz w:val="24"/>
          <w:highlight w:val="none"/>
        </w:rPr>
        <w:t>对此不承担任何责任。</w:t>
      </w:r>
    </w:p>
    <w:p w14:paraId="23C50F53">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4</w:t>
      </w:r>
      <w:r>
        <w:rPr>
          <w:rFonts w:hint="eastAsia" w:ascii="楷体_GB2312" w:hAnsi="楷体" w:eastAsia="楷体_GB2312"/>
          <w:sz w:val="24"/>
          <w:highlight w:val="none"/>
        </w:rPr>
        <w:t>.</w:t>
      </w:r>
      <w:r>
        <w:rPr>
          <w:rFonts w:ascii="楷体_GB2312" w:hAnsi="楷体" w:eastAsia="楷体_GB2312"/>
          <w:sz w:val="24"/>
          <w:highlight w:val="none"/>
        </w:rPr>
        <w:t>投资者确认签署和履行</w:t>
      </w:r>
      <w:r>
        <w:rPr>
          <w:rFonts w:hint="eastAsia" w:ascii="楷体_GB2312" w:hAnsi="楷体" w:eastAsia="楷体_GB2312"/>
          <w:sz w:val="24"/>
          <w:highlight w:val="none"/>
          <w:lang w:eastAsia="zh-CN"/>
        </w:rPr>
        <w:t>本</w:t>
      </w:r>
      <w:r>
        <w:rPr>
          <w:rFonts w:hint="eastAsia" w:ascii="楷体_GB2312" w:hAnsi="楷体" w:eastAsia="楷体_GB2312"/>
          <w:sz w:val="24"/>
          <w:highlight w:val="none"/>
        </w:rPr>
        <w:t>理财产品销售文件</w:t>
      </w:r>
      <w:r>
        <w:rPr>
          <w:rFonts w:ascii="楷体_GB2312" w:hAnsi="楷体" w:eastAsia="楷体_GB2312"/>
          <w:sz w:val="24"/>
          <w:highlight w:val="none"/>
        </w:rPr>
        <w:t>系其真实意思表示，已经按照其章程或者其它内部管理文件的要求取得合法、有效的授权（适用于机构投资者），且不会违反对其有约束力的任何合同和其他法律文件；投资者已经取得签订和履行</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理财产品销售文件</w:t>
      </w:r>
      <w:r>
        <w:rPr>
          <w:rFonts w:ascii="楷体_GB2312" w:hAnsi="楷体" w:eastAsia="楷体_GB2312"/>
          <w:sz w:val="24"/>
          <w:highlight w:val="none"/>
        </w:rPr>
        <w:t>所需的一切有关批准、许可、备案或者登记。</w:t>
      </w:r>
      <w:bookmarkEnd w:id="0"/>
      <w:bookmarkEnd w:id="1"/>
    </w:p>
    <w:p w14:paraId="7A09BEE2">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5</w:t>
      </w:r>
      <w:r>
        <w:rPr>
          <w:rFonts w:hint="eastAsia" w:ascii="楷体_GB2312" w:hAnsi="楷体" w:eastAsia="楷体_GB2312"/>
          <w:sz w:val="24"/>
          <w:highlight w:val="none"/>
        </w:rPr>
        <w:t>.</w:t>
      </w:r>
      <w:r>
        <w:rPr>
          <w:rFonts w:ascii="楷体_GB2312" w:hAnsi="楷体" w:eastAsia="楷体_GB2312"/>
          <w:sz w:val="24"/>
          <w:highlight w:val="none"/>
        </w:rPr>
        <w:t>投资者声明熟悉理财产品类型特征及不同销售渠道的法律法规规定</w:t>
      </w:r>
      <w:r>
        <w:rPr>
          <w:rFonts w:hint="eastAsia" w:ascii="楷体_GB2312" w:hAnsi="楷体" w:eastAsia="楷体_GB2312"/>
          <w:sz w:val="24"/>
          <w:highlight w:val="none"/>
          <w:lang w:eastAsia="zh-Hans"/>
        </w:rPr>
        <w:t>，了解理财产品直销和代销的相关区别</w:t>
      </w:r>
      <w:r>
        <w:rPr>
          <w:rFonts w:ascii="楷体_GB2312" w:hAnsi="楷体" w:eastAsia="楷体_GB2312"/>
          <w:sz w:val="24"/>
          <w:highlight w:val="none"/>
        </w:rPr>
        <w:t xml:space="preserve">。 </w:t>
      </w:r>
    </w:p>
    <w:p w14:paraId="3E32BE77">
      <w:pPr>
        <w:ind w:firstLine="480" w:firstLineChars="200"/>
        <w:rPr>
          <w:rFonts w:ascii="楷体_GB2312" w:hAnsi="楷体" w:eastAsia="楷体_GB2312"/>
          <w:sz w:val="24"/>
          <w:highlight w:val="none"/>
        </w:rPr>
      </w:pPr>
      <w:r>
        <w:rPr>
          <w:rFonts w:hint="eastAsia" w:ascii="楷体_GB2312" w:hAnsi="楷体" w:eastAsia="楷体_GB2312"/>
          <w:sz w:val="24"/>
          <w:highlight w:val="none"/>
        </w:rPr>
        <w:t>★</w:t>
      </w:r>
      <w:r>
        <w:rPr>
          <w:rFonts w:hint="eastAsia" w:ascii="楷体_GB2312" w:hAnsi="楷体" w:eastAsia="楷体_GB2312"/>
          <w:sz w:val="24"/>
          <w:highlight w:val="none"/>
          <w:lang w:val="en-US" w:eastAsia="zh-CN"/>
        </w:rPr>
        <w:t>6</w:t>
      </w:r>
      <w:r>
        <w:rPr>
          <w:rFonts w:hint="eastAsia" w:ascii="楷体_GB2312" w:hAnsi="楷体" w:eastAsia="楷体_GB2312"/>
          <w:sz w:val="24"/>
          <w:highlight w:val="none"/>
        </w:rPr>
        <w:t>.</w:t>
      </w:r>
      <w:r>
        <w:rPr>
          <w:rFonts w:ascii="楷体_GB2312" w:hAnsi="楷体" w:eastAsia="楷体_GB2312"/>
          <w:sz w:val="24"/>
          <w:highlight w:val="none"/>
        </w:rPr>
        <w:t>投资者承诺</w:t>
      </w:r>
      <w:r>
        <w:rPr>
          <w:rFonts w:hint="eastAsia" w:ascii="楷体_GB2312" w:hAnsi="楷体" w:eastAsia="楷体_GB2312"/>
          <w:sz w:val="24"/>
          <w:highlight w:val="none"/>
          <w:lang w:val="en-US" w:eastAsia="zh-CN"/>
        </w:rPr>
        <w:t>理财</w:t>
      </w:r>
      <w:r>
        <w:rPr>
          <w:rFonts w:ascii="楷体_GB2312" w:hAnsi="楷体" w:eastAsia="楷体_GB2312"/>
          <w:sz w:val="24"/>
          <w:highlight w:val="none"/>
        </w:rPr>
        <w:t>投资资金为自有资金</w:t>
      </w: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资金</w:t>
      </w:r>
      <w:r>
        <w:rPr>
          <w:rFonts w:ascii="楷体_GB2312" w:hAnsi="楷体" w:eastAsia="楷体_GB2312"/>
          <w:sz w:val="24"/>
          <w:highlight w:val="none"/>
        </w:rPr>
        <w:t>来源和用途合法</w:t>
      </w:r>
      <w:r>
        <w:rPr>
          <w:rFonts w:hint="eastAsia" w:ascii="楷体_GB2312" w:hAnsi="楷体" w:eastAsia="楷体_GB2312"/>
          <w:sz w:val="24"/>
          <w:highlight w:val="none"/>
          <w:lang w:eastAsia="zh-CN"/>
        </w:rPr>
        <w:t>。</w:t>
      </w:r>
      <w:r>
        <w:rPr>
          <w:rFonts w:ascii="楷体_GB2312" w:hAnsi="楷体" w:eastAsia="楷体_GB2312"/>
          <w:sz w:val="24"/>
          <w:highlight w:val="none"/>
        </w:rPr>
        <w:t>投资者保证不使用贷款、发行债券等筹集的非自有资金投资</w:t>
      </w:r>
      <w:r>
        <w:rPr>
          <w:rFonts w:hint="eastAsia" w:ascii="楷体_GB2312" w:hAnsi="楷体" w:eastAsia="楷体_GB2312"/>
          <w:sz w:val="24"/>
          <w:highlight w:val="none"/>
          <w:lang w:val="en-US" w:eastAsia="zh-CN"/>
        </w:rPr>
        <w:t>本</w:t>
      </w:r>
      <w:r>
        <w:rPr>
          <w:rFonts w:ascii="楷体_GB2312" w:hAnsi="楷体" w:eastAsia="楷体_GB2312"/>
          <w:sz w:val="24"/>
          <w:highlight w:val="none"/>
        </w:rPr>
        <w:t>理财产品，保证可向产品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和</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w:t>
      </w:r>
      <w:r>
        <w:rPr>
          <w:rFonts w:ascii="楷体_GB2312" w:hAnsi="楷体" w:eastAsia="楷体_GB2312"/>
          <w:sz w:val="24"/>
          <w:highlight w:val="none"/>
        </w:rPr>
        <w:t>提供合法筹集的证明文件</w:t>
      </w:r>
      <w:r>
        <w:rPr>
          <w:rFonts w:hint="eastAsia" w:ascii="楷体_GB2312" w:hAnsi="楷体" w:eastAsia="楷体_GB2312"/>
          <w:sz w:val="24"/>
          <w:highlight w:val="none"/>
          <w:lang w:eastAsia="zh-CN"/>
        </w:rPr>
        <w:t>，</w:t>
      </w:r>
      <w:r>
        <w:rPr>
          <w:rFonts w:ascii="楷体_GB2312" w:hAnsi="楷体" w:eastAsia="楷体_GB2312"/>
          <w:sz w:val="24"/>
          <w:highlight w:val="none"/>
        </w:rPr>
        <w:t>保证投资本理财产品不存在违反监管要求的产品嵌套，</w:t>
      </w:r>
      <w:r>
        <w:rPr>
          <w:rFonts w:hint="eastAsia" w:ascii="楷体_GB2312" w:hAnsi="楷体" w:eastAsia="楷体_GB2312"/>
          <w:sz w:val="24"/>
          <w:highlight w:val="none"/>
          <w:lang w:val="en-US" w:eastAsia="zh-CN"/>
        </w:rPr>
        <w:t>保证不存在</w:t>
      </w:r>
      <w:r>
        <w:rPr>
          <w:rFonts w:ascii="楷体_GB2312" w:hAnsi="楷体" w:eastAsia="楷体_GB2312"/>
          <w:sz w:val="24"/>
          <w:highlight w:val="none"/>
        </w:rPr>
        <w:t xml:space="preserve">以投资本理财产品规避投资范围、杠杆约束等监管要求等违规行为。 </w:t>
      </w:r>
    </w:p>
    <w:p w14:paraId="710D61D8">
      <w:pPr>
        <w:pStyle w:val="2"/>
        <w:ind w:left="0" w:leftChars="0" w:firstLine="480" w:firstLineChars="200"/>
        <w:rPr>
          <w:highlight w:val="none"/>
        </w:rPr>
      </w:pPr>
      <w:r>
        <w:rPr>
          <w:rFonts w:hint="eastAsia" w:ascii="楷体_GB2312" w:hAnsi="楷体" w:eastAsia="楷体_GB2312"/>
          <w:sz w:val="24"/>
          <w:highlight w:val="none"/>
          <w:lang w:eastAsia="zh-CN"/>
        </w:rPr>
        <w:t>7</w:t>
      </w:r>
      <w:r>
        <w:rPr>
          <w:rFonts w:hint="eastAsia" w:ascii="楷体_GB2312" w:hAnsi="楷体" w:eastAsia="楷体_GB2312"/>
          <w:sz w:val="24"/>
          <w:highlight w:val="none"/>
        </w:rPr>
        <w:t>.</w:t>
      </w:r>
      <w:r>
        <w:rPr>
          <w:rFonts w:ascii="楷体_GB2312" w:hAnsi="楷体" w:eastAsia="楷体_GB2312"/>
          <w:sz w:val="24"/>
          <w:highlight w:val="none"/>
        </w:rPr>
        <w:t>投资者</w:t>
      </w:r>
      <w:r>
        <w:rPr>
          <w:rFonts w:hint="eastAsia" w:ascii="楷体_GB2312" w:hAnsi="楷体" w:eastAsia="楷体_GB2312"/>
          <w:sz w:val="24"/>
          <w:highlight w:val="none"/>
          <w:lang w:val="en-US" w:eastAsia="zh-CN"/>
        </w:rPr>
        <w:t>承诺</w:t>
      </w:r>
      <w:r>
        <w:rPr>
          <w:rFonts w:hint="eastAsia" w:ascii="楷体_GB2312" w:hAnsi="楷体" w:eastAsia="楷体_GB2312"/>
          <w:sz w:val="24"/>
          <w:highlight w:val="none"/>
        </w:rPr>
        <w:t>配合产品管理人或</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机构为识别合格投资者等目的进行的尽职调查及接受对其投资风险承受能力进行的测评。</w:t>
      </w:r>
    </w:p>
    <w:p w14:paraId="662F60C3">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8</w:t>
      </w:r>
      <w:r>
        <w:rPr>
          <w:rFonts w:hint="eastAsia" w:ascii="楷体_GB2312" w:hAnsi="楷体" w:eastAsia="楷体_GB2312"/>
          <w:sz w:val="24"/>
          <w:highlight w:val="none"/>
        </w:rPr>
        <w:t>.</w:t>
      </w:r>
      <w:r>
        <w:rPr>
          <w:rFonts w:ascii="楷体_GB2312" w:hAnsi="楷体" w:eastAsia="楷体_GB2312"/>
          <w:sz w:val="24"/>
          <w:highlight w:val="none"/>
        </w:rPr>
        <w:t>投资者</w:t>
      </w:r>
      <w:r>
        <w:rPr>
          <w:rFonts w:hint="eastAsia" w:ascii="楷体_GB2312" w:hAnsi="楷体" w:eastAsia="楷体_GB2312"/>
          <w:sz w:val="24"/>
          <w:highlight w:val="none"/>
          <w:lang w:val="en-US" w:eastAsia="zh-CN"/>
        </w:rPr>
        <w:t>承诺</w:t>
      </w:r>
      <w:r>
        <w:rPr>
          <w:rFonts w:ascii="楷体_GB2312" w:hAnsi="楷体" w:eastAsia="楷体_GB2312"/>
          <w:sz w:val="24"/>
          <w:highlight w:val="none"/>
        </w:rPr>
        <w:t>不利用本理财业务及本</w:t>
      </w:r>
      <w:r>
        <w:rPr>
          <w:rFonts w:hint="eastAsia" w:ascii="楷体_GB2312" w:hAnsi="楷体" w:eastAsia="楷体_GB2312"/>
          <w:sz w:val="24"/>
          <w:highlight w:val="none"/>
        </w:rPr>
        <w:t>理财产品销售文件</w:t>
      </w:r>
      <w:r>
        <w:rPr>
          <w:rFonts w:ascii="楷体_GB2312" w:hAnsi="楷体" w:eastAsia="楷体_GB2312"/>
          <w:sz w:val="24"/>
          <w:highlight w:val="none"/>
        </w:rPr>
        <w:t xml:space="preserve">项下理财产品从事违法活动。 </w:t>
      </w:r>
    </w:p>
    <w:p w14:paraId="15C087B3">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9</w:t>
      </w:r>
      <w:r>
        <w:rPr>
          <w:rFonts w:hint="eastAsia" w:ascii="楷体_GB2312" w:hAnsi="楷体" w:eastAsia="楷体_GB2312"/>
          <w:sz w:val="24"/>
          <w:highlight w:val="none"/>
        </w:rPr>
        <w:t>.</w:t>
      </w:r>
      <w:r>
        <w:rPr>
          <w:rFonts w:ascii="楷体_GB2312" w:hAnsi="楷体" w:eastAsia="楷体_GB2312"/>
          <w:sz w:val="24"/>
          <w:highlight w:val="none"/>
        </w:rPr>
        <w:t>投资者</w:t>
      </w:r>
      <w:r>
        <w:rPr>
          <w:rFonts w:hint="eastAsia" w:ascii="楷体_GB2312" w:hAnsi="楷体" w:eastAsia="楷体_GB2312"/>
          <w:sz w:val="24"/>
          <w:highlight w:val="none"/>
          <w:lang w:val="en-US" w:eastAsia="zh-CN"/>
        </w:rPr>
        <w:t>承诺</w:t>
      </w:r>
      <w:r>
        <w:rPr>
          <w:rFonts w:ascii="楷体_GB2312" w:hAnsi="楷体" w:eastAsia="楷体_GB2312"/>
          <w:sz w:val="24"/>
          <w:highlight w:val="none"/>
        </w:rPr>
        <w:t>遵守国家反洗钱法律、法规及相关政策要求，不从事涉及洗钱、恐怖融资、逃税、逃废债务、套取现金等违法违规活动，积极配合</w:t>
      </w:r>
      <w:r>
        <w:rPr>
          <w:rFonts w:hint="eastAsia" w:ascii="楷体_GB2312" w:hAnsi="楷体" w:eastAsia="楷体_GB2312"/>
          <w:sz w:val="24"/>
          <w:highlight w:val="none"/>
          <w:lang w:eastAsia="zh-CN"/>
        </w:rPr>
        <w:t>产品管理人</w:t>
      </w:r>
      <w:r>
        <w:rPr>
          <w:rFonts w:hint="eastAsia" w:ascii="楷体_GB2312" w:hAnsi="楷体" w:eastAsia="楷体_GB2312"/>
          <w:sz w:val="24"/>
          <w:highlight w:val="none"/>
          <w:lang w:val="en-US" w:eastAsia="zh-CN"/>
        </w:rPr>
        <w:t>或代理销售</w:t>
      </w:r>
      <w:r>
        <w:rPr>
          <w:rFonts w:ascii="楷体_GB2312" w:hAnsi="楷体" w:eastAsia="楷体_GB2312"/>
          <w:sz w:val="24"/>
          <w:highlight w:val="none"/>
        </w:rPr>
        <w:t>机构根据反洗钱、反恐怖融资、制裁合规风险管理及非居民金融账户涉税信息尽职调查等相关法律法规要求开展投资者身份识别、交易记录保存、投资者身份及交易背景尽职调查、风险评估和管理、大额和可疑交易报告等各项反洗钱和反恐怖融资工作，并按要求提供相关信息和证明材料。</w:t>
      </w:r>
    </w:p>
    <w:p w14:paraId="21980ABC">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10.</w:t>
      </w:r>
      <w:r>
        <w:rPr>
          <w:rFonts w:ascii="楷体_GB2312" w:hAnsi="楷体" w:eastAsia="楷体_GB2312"/>
          <w:sz w:val="24"/>
          <w:highlight w:val="none"/>
        </w:rPr>
        <w:t>投资者确认，投资者及其关联方（主要指企业投资者的授权办理人、法定代表人/负责人、董事、控股股东、实际控制人、受益所有人等直接或间接关联方）不属于联合国及</w:t>
      </w:r>
      <w:r>
        <w:rPr>
          <w:rFonts w:hint="eastAsia" w:ascii="楷体_GB2312" w:hAnsi="楷体" w:eastAsia="楷体_GB2312"/>
          <w:sz w:val="24"/>
          <w:highlight w:val="none"/>
        </w:rPr>
        <w:t>中国承认的</w:t>
      </w:r>
      <w:r>
        <w:rPr>
          <w:rFonts w:ascii="楷体_GB2312" w:hAnsi="楷体" w:eastAsia="楷体_GB2312"/>
          <w:sz w:val="24"/>
          <w:highlight w:val="none"/>
        </w:rPr>
        <w:t xml:space="preserve">有关国际组织、中国以及中国承认的相关国家和地区、地区性组织/机构发布的制裁名单，不位于被上述国际组织、国家、组织/机构制裁的国家和地区；不属于联合国安理会、中国承认的其他国际组织、国家和地区以及中国人民银行、中国公安部等中国有权机关发布的洗钱和恐怖活动组织及人员名单；不位于上述中国承认的国际组织、国家和地区发布的洗钱及恐怖融资高风险国家和地区。 </w:t>
      </w:r>
    </w:p>
    <w:p w14:paraId="355DDE0E">
      <w:pPr>
        <w:numPr>
          <w:ilvl w:val="0"/>
          <w:numId w:val="0"/>
        </w:numPr>
        <w:ind w:firstLine="480" w:firstLineChars="200"/>
        <w:rPr>
          <w:rFonts w:hint="eastAsia" w:ascii="楷体_GB2312" w:hAnsi="楷体" w:eastAsia="楷体_GB2312"/>
          <w:b/>
          <w:bCs/>
          <w:sz w:val="24"/>
          <w:highlight w:val="none"/>
        </w:rPr>
      </w:pPr>
      <w:r>
        <w:rPr>
          <w:rFonts w:hint="eastAsia" w:ascii="楷体_GB2312" w:hAnsi="楷体" w:eastAsia="楷体_GB2312"/>
          <w:sz w:val="24"/>
          <w:highlight w:val="none"/>
          <w:lang w:val="en-US" w:eastAsia="zh-CN"/>
        </w:rPr>
        <w:t>11.</w:t>
      </w:r>
      <w:r>
        <w:rPr>
          <w:rFonts w:hint="eastAsia" w:ascii="楷体_GB2312" w:hAnsi="楷体" w:eastAsia="楷体_GB2312"/>
          <w:sz w:val="24"/>
          <w:highlight w:val="none"/>
        </w:rPr>
        <w:t>投资者</w:t>
      </w:r>
      <w:r>
        <w:rPr>
          <w:rFonts w:hint="eastAsia" w:ascii="楷体_GB2312" w:hAnsi="楷体" w:eastAsia="楷体_GB2312"/>
          <w:sz w:val="24"/>
          <w:highlight w:val="none"/>
          <w:lang w:val="en-US" w:eastAsia="zh-CN"/>
        </w:rPr>
        <w:t>声明</w:t>
      </w:r>
      <w:r>
        <w:rPr>
          <w:rFonts w:hint="eastAsia" w:ascii="楷体_GB2312" w:hAnsi="楷体" w:eastAsia="楷体_GB2312"/>
          <w:sz w:val="24"/>
          <w:highlight w:val="none"/>
        </w:rPr>
        <w:t>自愿购买本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产品，接受产品管理人</w:t>
      </w:r>
      <w:r>
        <w:rPr>
          <w:rFonts w:hint="eastAsia" w:ascii="楷体_GB2312" w:hAnsi="楷体" w:eastAsia="楷体_GB2312"/>
          <w:sz w:val="24"/>
          <w:highlight w:val="none"/>
          <w:lang w:eastAsia="zh-Hans"/>
        </w:rPr>
        <w:t>及</w:t>
      </w:r>
      <w:r>
        <w:rPr>
          <w:rFonts w:hint="eastAsia" w:ascii="楷体_GB2312" w:hAnsi="楷体" w:eastAsia="楷体_GB2312"/>
          <w:sz w:val="24"/>
          <w:highlight w:val="none"/>
          <w:lang w:val="en-US" w:eastAsia="zh-CN"/>
        </w:rPr>
        <w:t>代理销售</w:t>
      </w:r>
      <w:r>
        <w:rPr>
          <w:rFonts w:hint="eastAsia" w:ascii="楷体_GB2312" w:hAnsi="楷体" w:eastAsia="楷体_GB2312"/>
          <w:sz w:val="24"/>
          <w:highlight w:val="none"/>
        </w:rPr>
        <w:t>机构提供的投资理财服务。</w:t>
      </w:r>
      <w:r>
        <w:rPr>
          <w:rFonts w:hint="eastAsia" w:ascii="楷体_GB2312" w:hAnsi="楷体" w:eastAsia="楷体_GB2312"/>
          <w:b/>
          <w:bCs/>
          <w:sz w:val="24"/>
          <w:highlight w:val="none"/>
        </w:rPr>
        <w:t>投资者已仔细</w:t>
      </w:r>
      <w:r>
        <w:rPr>
          <w:rFonts w:hint="eastAsia" w:ascii="楷体_GB2312" w:hAnsi="楷体" w:eastAsia="楷体_GB2312"/>
          <w:b/>
          <w:bCs/>
          <w:sz w:val="24"/>
          <w:highlight w:val="none"/>
          <w:lang w:eastAsia="zh-Hans"/>
        </w:rPr>
        <w:t>阅</w:t>
      </w:r>
      <w:r>
        <w:rPr>
          <w:rFonts w:hint="eastAsia" w:ascii="楷体_GB2312" w:hAnsi="楷体" w:eastAsia="楷体_GB2312"/>
          <w:b/>
          <w:bCs/>
          <w:sz w:val="24"/>
          <w:highlight w:val="none"/>
        </w:rPr>
        <w:t>读《风险揭示书》，已充分知悉本</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rPr>
        <w:t>产品</w:t>
      </w:r>
      <w:r>
        <w:rPr>
          <w:rFonts w:hint="eastAsia" w:ascii="楷体_GB2312" w:hAnsi="楷体" w:eastAsia="楷体_GB2312"/>
          <w:b/>
          <w:bCs/>
          <w:sz w:val="24"/>
          <w:highlight w:val="none"/>
          <w:lang w:val="en-US" w:eastAsia="zh-CN"/>
        </w:rPr>
        <w:t>的</w:t>
      </w:r>
      <w:r>
        <w:rPr>
          <w:rFonts w:hint="eastAsia" w:ascii="楷体_GB2312" w:hAnsi="楷体" w:eastAsia="楷体_GB2312"/>
          <w:b/>
          <w:bCs/>
          <w:sz w:val="24"/>
          <w:highlight w:val="none"/>
        </w:rPr>
        <w:t>风险</w:t>
      </w:r>
      <w:r>
        <w:rPr>
          <w:rFonts w:hint="eastAsia" w:ascii="楷体_GB2312" w:hAnsi="楷体" w:eastAsia="楷体_GB2312"/>
          <w:b/>
          <w:bCs/>
          <w:sz w:val="24"/>
          <w:highlight w:val="none"/>
          <w:lang w:val="en-US" w:eastAsia="zh-CN"/>
        </w:rPr>
        <w:t>评</w:t>
      </w:r>
      <w:r>
        <w:rPr>
          <w:rFonts w:hint="eastAsia" w:ascii="楷体_GB2312" w:hAnsi="楷体" w:eastAsia="楷体_GB2312"/>
          <w:b/>
          <w:bCs/>
          <w:sz w:val="24"/>
          <w:highlight w:val="none"/>
        </w:rPr>
        <w:t>级，并确定以</w:t>
      </w:r>
      <w:r>
        <w:rPr>
          <w:rFonts w:hint="eastAsia" w:ascii="楷体_GB2312" w:hAnsi="楷体" w:eastAsia="楷体_GB2312"/>
          <w:b/>
          <w:bCs/>
          <w:sz w:val="24"/>
          <w:highlight w:val="none"/>
          <w:lang w:val="en-US" w:eastAsia="zh-CN"/>
        </w:rPr>
        <w:t>前</w:t>
      </w:r>
      <w:r>
        <w:rPr>
          <w:rFonts w:hint="eastAsia" w:ascii="楷体_GB2312" w:hAnsi="楷体" w:eastAsia="楷体_GB2312"/>
          <w:b/>
          <w:bCs/>
          <w:sz w:val="24"/>
          <w:highlight w:val="none"/>
        </w:rPr>
        <w:t>述</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lang w:eastAsia="zh-Hans"/>
        </w:rPr>
        <w:t>投资</w:t>
      </w:r>
      <w:r>
        <w:rPr>
          <w:rFonts w:hint="eastAsia" w:ascii="楷体_GB2312" w:hAnsi="楷体" w:eastAsia="楷体_GB2312"/>
          <w:b/>
          <w:bCs/>
          <w:sz w:val="24"/>
          <w:highlight w:val="none"/>
        </w:rPr>
        <w:t>资金投资本</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rPr>
        <w:t>产品，投资者承诺由此产生的相关风险</w:t>
      </w:r>
      <w:r>
        <w:rPr>
          <w:rFonts w:hint="eastAsia" w:ascii="楷体_GB2312" w:hAnsi="楷体" w:eastAsia="楷体_GB2312"/>
          <w:b/>
          <w:bCs/>
          <w:sz w:val="24"/>
          <w:highlight w:val="none"/>
          <w:lang w:val="en-US" w:eastAsia="zh-CN"/>
        </w:rPr>
        <w:t>均</w:t>
      </w:r>
      <w:r>
        <w:rPr>
          <w:rFonts w:hint="eastAsia" w:ascii="楷体_GB2312" w:hAnsi="楷体" w:eastAsia="楷体_GB2312"/>
          <w:b/>
          <w:bCs/>
          <w:sz w:val="24"/>
          <w:highlight w:val="none"/>
        </w:rPr>
        <w:t>由投资者</w:t>
      </w:r>
      <w:r>
        <w:rPr>
          <w:rFonts w:hint="eastAsia" w:ascii="楷体_GB2312" w:hAnsi="楷体" w:eastAsia="楷体_GB2312"/>
          <w:b/>
          <w:bCs/>
          <w:sz w:val="24"/>
          <w:highlight w:val="none"/>
          <w:lang w:val="en-US" w:eastAsia="zh-CN"/>
        </w:rPr>
        <w:t>自行</w:t>
      </w:r>
      <w:r>
        <w:rPr>
          <w:rFonts w:hint="eastAsia" w:ascii="楷体_GB2312" w:hAnsi="楷体" w:eastAsia="楷体_GB2312"/>
          <w:b/>
          <w:bCs/>
          <w:sz w:val="24"/>
          <w:highlight w:val="none"/>
        </w:rPr>
        <w:t>承担。</w:t>
      </w:r>
    </w:p>
    <w:p w14:paraId="1E5F4F31">
      <w:pPr>
        <w:numPr>
          <w:ilvl w:val="0"/>
          <w:numId w:val="0"/>
        </w:numPr>
        <w:ind w:firstLine="480" w:firstLineChars="200"/>
        <w:rPr>
          <w:rFonts w:hint="eastAsia" w:ascii="楷体_GB2312" w:hAnsi="楷体" w:eastAsia="楷体_GB2312"/>
          <w:b/>
          <w:bCs/>
          <w:sz w:val="24"/>
          <w:highlight w:val="none"/>
        </w:rPr>
      </w:pPr>
      <w:r>
        <w:rPr>
          <w:rFonts w:hint="eastAsia" w:ascii="楷体_GB2312" w:hAnsi="楷体" w:eastAsia="楷体_GB2312"/>
          <w:b w:val="0"/>
          <w:bCs w:val="0"/>
          <w:sz w:val="24"/>
          <w:highlight w:val="none"/>
          <w:lang w:val="en-US" w:eastAsia="zh-CN"/>
        </w:rPr>
        <w:t>12.</w:t>
      </w:r>
      <w:r>
        <w:rPr>
          <w:rFonts w:hint="eastAsia" w:ascii="楷体_GB2312" w:hAnsi="楷体" w:eastAsia="楷体_GB2312"/>
          <w:sz w:val="24"/>
          <w:highlight w:val="none"/>
        </w:rPr>
        <w:t>投资者应按产品管理人</w:t>
      </w:r>
      <w:r>
        <w:rPr>
          <w:rFonts w:hint="eastAsia" w:ascii="楷体_GB2312" w:hAnsi="楷体" w:eastAsia="楷体_GB2312"/>
          <w:sz w:val="24"/>
          <w:highlight w:val="none"/>
          <w:lang w:val="en-US" w:eastAsia="zh-CN"/>
        </w:rPr>
        <w:t>或代理销售机构</w:t>
      </w:r>
      <w:r>
        <w:rPr>
          <w:rFonts w:hint="eastAsia" w:ascii="楷体_GB2312" w:hAnsi="楷体" w:eastAsia="楷体_GB2312"/>
          <w:sz w:val="24"/>
          <w:highlight w:val="none"/>
        </w:rPr>
        <w:t>要求开立</w:t>
      </w:r>
      <w:r>
        <w:rPr>
          <w:rFonts w:hint="eastAsia" w:ascii="楷体_GB2312" w:hAnsi="楷体" w:eastAsia="楷体_GB2312"/>
          <w:sz w:val="24"/>
          <w:highlight w:val="none"/>
          <w:lang w:eastAsia="zh-CN"/>
        </w:rPr>
        <w:t>本</w:t>
      </w:r>
      <w:r>
        <w:rPr>
          <w:rFonts w:hint="eastAsia" w:ascii="楷体_GB2312" w:hAnsi="楷体" w:eastAsia="楷体_GB2312"/>
          <w:sz w:val="24"/>
          <w:highlight w:val="none"/>
        </w:rPr>
        <w:t>理财产品指定账户（以下简称“指定账户”)，用于本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产品的理财</w:t>
      </w:r>
      <w:r>
        <w:rPr>
          <w:rFonts w:hint="eastAsia" w:ascii="楷体_GB2312" w:hAnsi="楷体" w:eastAsia="楷体_GB2312"/>
          <w:sz w:val="24"/>
          <w:highlight w:val="none"/>
          <w:lang w:val="en-US" w:eastAsia="zh-CN"/>
        </w:rPr>
        <w:t>投资</w:t>
      </w:r>
      <w:r>
        <w:rPr>
          <w:rFonts w:hint="eastAsia" w:ascii="楷体_GB2312" w:hAnsi="楷体" w:eastAsia="楷体_GB2312"/>
          <w:sz w:val="24"/>
          <w:highlight w:val="none"/>
        </w:rPr>
        <w:t>资金划转及理财产品</w:t>
      </w:r>
      <w:r>
        <w:rPr>
          <w:rFonts w:hint="eastAsia" w:ascii="楷体_GB2312" w:hAnsi="楷体" w:eastAsia="楷体_GB2312"/>
          <w:sz w:val="24"/>
          <w:highlight w:val="none"/>
          <w:lang w:val="en-US" w:eastAsia="zh-CN"/>
        </w:rPr>
        <w:t>收益</w:t>
      </w:r>
      <w:r>
        <w:rPr>
          <w:rFonts w:hint="eastAsia" w:ascii="楷体_GB2312" w:hAnsi="楷体" w:eastAsia="楷体_GB2312"/>
          <w:sz w:val="24"/>
          <w:highlight w:val="none"/>
        </w:rPr>
        <w:t>分配，</w:t>
      </w:r>
      <w:r>
        <w:rPr>
          <w:rFonts w:hint="eastAsia" w:ascii="楷体_GB2312" w:hAnsi="楷体" w:eastAsia="楷体_GB2312"/>
          <w:b/>
          <w:bCs/>
          <w:sz w:val="24"/>
          <w:highlight w:val="none"/>
        </w:rPr>
        <w:t>投资者承诺持有本</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rPr>
        <w:t>产品期间指定账户不做销户。</w:t>
      </w:r>
    </w:p>
    <w:p w14:paraId="1DF69A4E">
      <w:pPr>
        <w:numPr>
          <w:ilvl w:val="0"/>
          <w:numId w:val="0"/>
        </w:numPr>
        <w:ind w:firstLine="482" w:firstLineChars="200"/>
        <w:rPr>
          <w:highlight w:val="none"/>
        </w:rPr>
      </w:pPr>
      <w:r>
        <w:rPr>
          <w:rFonts w:hint="eastAsia" w:ascii="楷体_GB2312" w:hAnsi="楷体" w:eastAsia="楷体_GB2312"/>
          <w:b/>
          <w:bCs/>
          <w:sz w:val="24"/>
          <w:highlight w:val="none"/>
          <w:lang w:eastAsia="zh-CN"/>
        </w:rPr>
        <w:t>1</w:t>
      </w:r>
      <w:r>
        <w:rPr>
          <w:rFonts w:hint="eastAsia" w:ascii="楷体_GB2312" w:hAnsi="楷体" w:eastAsia="楷体_GB2312"/>
          <w:b/>
          <w:bCs/>
          <w:sz w:val="24"/>
          <w:highlight w:val="none"/>
          <w:lang w:val="en-US" w:eastAsia="zh-CN"/>
        </w:rPr>
        <w:t>3</w:t>
      </w:r>
      <w:r>
        <w:rPr>
          <w:rFonts w:hint="eastAsia" w:ascii="楷体_GB2312" w:hAnsi="楷体" w:eastAsia="楷体_GB2312"/>
          <w:b/>
          <w:bCs/>
          <w:sz w:val="24"/>
          <w:highlight w:val="none"/>
        </w:rPr>
        <w:t>.投资者在购买本</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rPr>
        <w:t>产品时，应同时在约定的时间结点前向指定账户存入足额理财</w:t>
      </w:r>
      <w:r>
        <w:rPr>
          <w:rFonts w:hint="eastAsia" w:ascii="楷体_GB2312" w:hAnsi="楷体" w:eastAsia="楷体_GB2312"/>
          <w:b/>
          <w:bCs/>
          <w:sz w:val="24"/>
          <w:highlight w:val="none"/>
          <w:lang w:val="en-US" w:eastAsia="zh-CN"/>
        </w:rPr>
        <w:t>投资</w:t>
      </w:r>
      <w:r>
        <w:rPr>
          <w:rFonts w:hint="eastAsia" w:ascii="楷体_GB2312" w:hAnsi="楷体" w:eastAsia="楷体_GB2312"/>
          <w:b/>
          <w:bCs/>
          <w:sz w:val="24"/>
          <w:highlight w:val="none"/>
        </w:rPr>
        <w:t>资金，并同意授权产品管理人或</w:t>
      </w:r>
      <w:r>
        <w:rPr>
          <w:rFonts w:hint="eastAsia" w:ascii="楷体_GB2312" w:hAnsi="楷体" w:eastAsia="楷体_GB2312"/>
          <w:b/>
          <w:bCs/>
          <w:sz w:val="24"/>
          <w:highlight w:val="none"/>
          <w:lang w:val="en-US" w:eastAsia="zh-CN"/>
        </w:rPr>
        <w:t>代理销售</w:t>
      </w:r>
      <w:r>
        <w:rPr>
          <w:rFonts w:hint="eastAsia" w:ascii="楷体_GB2312" w:hAnsi="楷体" w:eastAsia="楷体_GB2312"/>
          <w:b/>
          <w:bCs/>
          <w:sz w:val="24"/>
          <w:highlight w:val="none"/>
        </w:rPr>
        <w:t>机构于相应的资金归集日将投资者指定账户内相应的理财</w:t>
      </w:r>
      <w:r>
        <w:rPr>
          <w:rFonts w:hint="eastAsia" w:ascii="楷体_GB2312" w:hAnsi="楷体" w:eastAsia="楷体_GB2312"/>
          <w:b/>
          <w:bCs/>
          <w:sz w:val="24"/>
          <w:highlight w:val="none"/>
          <w:lang w:val="en-US" w:eastAsia="zh-CN"/>
        </w:rPr>
        <w:t>投资</w:t>
      </w:r>
      <w:r>
        <w:rPr>
          <w:rFonts w:hint="eastAsia" w:ascii="楷体_GB2312" w:hAnsi="楷体" w:eastAsia="楷体_GB2312"/>
          <w:b/>
          <w:bCs/>
          <w:sz w:val="24"/>
          <w:highlight w:val="none"/>
        </w:rPr>
        <w:t>资金划转至产品管理人理财账户。对此产品管理人或</w:t>
      </w:r>
      <w:r>
        <w:rPr>
          <w:rFonts w:hint="eastAsia" w:ascii="楷体_GB2312" w:hAnsi="楷体" w:eastAsia="楷体_GB2312"/>
          <w:b/>
          <w:bCs/>
          <w:sz w:val="24"/>
          <w:highlight w:val="none"/>
          <w:lang w:val="en-US" w:eastAsia="zh-CN"/>
        </w:rPr>
        <w:t>代理销售</w:t>
      </w:r>
      <w:r>
        <w:rPr>
          <w:rFonts w:hint="eastAsia" w:ascii="楷体_GB2312" w:hAnsi="楷体" w:eastAsia="楷体_GB2312"/>
          <w:b/>
          <w:bCs/>
          <w:sz w:val="24"/>
          <w:highlight w:val="none"/>
        </w:rPr>
        <w:t>机构无需另行征得投资者同意或给</w:t>
      </w:r>
      <w:r>
        <w:rPr>
          <w:rFonts w:hint="eastAsia" w:ascii="楷体_GB2312" w:hAnsi="楷体" w:eastAsia="楷体_GB2312"/>
          <w:b/>
          <w:bCs/>
          <w:sz w:val="24"/>
          <w:highlight w:val="none"/>
          <w:lang w:eastAsia="zh-Hans"/>
        </w:rPr>
        <w:t>予</w:t>
      </w:r>
      <w:r>
        <w:rPr>
          <w:rFonts w:hint="eastAsia" w:ascii="楷体_GB2312" w:hAnsi="楷体" w:eastAsia="楷体_GB2312"/>
          <w:b/>
          <w:bCs/>
          <w:sz w:val="24"/>
          <w:highlight w:val="none"/>
        </w:rPr>
        <w:t>通知，无需在划款时以电话等方式与投资者进行最后确认。由于投资者未存入理财</w:t>
      </w:r>
      <w:r>
        <w:rPr>
          <w:rFonts w:hint="eastAsia" w:ascii="楷体_GB2312" w:hAnsi="楷体" w:eastAsia="楷体_GB2312"/>
          <w:b/>
          <w:bCs/>
          <w:sz w:val="24"/>
          <w:highlight w:val="none"/>
          <w:lang w:val="en-US" w:eastAsia="zh-CN"/>
        </w:rPr>
        <w:t>投资</w:t>
      </w:r>
      <w:r>
        <w:rPr>
          <w:rFonts w:hint="eastAsia" w:ascii="楷体_GB2312" w:hAnsi="楷体" w:eastAsia="楷体_GB2312"/>
          <w:b/>
          <w:bCs/>
          <w:sz w:val="24"/>
          <w:highlight w:val="none"/>
        </w:rPr>
        <w:t>资金或</w:t>
      </w:r>
      <w:r>
        <w:rPr>
          <w:rFonts w:hint="eastAsia" w:ascii="楷体_GB2312" w:hAnsi="楷体" w:eastAsia="楷体_GB2312"/>
          <w:b/>
          <w:bCs/>
          <w:sz w:val="24"/>
          <w:highlight w:val="none"/>
          <w:lang w:val="en-US" w:eastAsia="zh-CN"/>
        </w:rPr>
        <w:t>存入</w:t>
      </w:r>
      <w:r>
        <w:rPr>
          <w:rFonts w:hint="eastAsia" w:ascii="楷体_GB2312" w:hAnsi="楷体" w:eastAsia="楷体_GB2312"/>
          <w:b/>
          <w:bCs/>
          <w:sz w:val="24"/>
          <w:highlight w:val="none"/>
        </w:rPr>
        <w:t>理财</w:t>
      </w:r>
      <w:r>
        <w:rPr>
          <w:rFonts w:hint="eastAsia" w:ascii="楷体_GB2312" w:hAnsi="楷体" w:eastAsia="楷体_GB2312"/>
          <w:b/>
          <w:bCs/>
          <w:sz w:val="24"/>
          <w:highlight w:val="none"/>
          <w:lang w:val="en-US" w:eastAsia="zh-CN"/>
        </w:rPr>
        <w:t>投资</w:t>
      </w:r>
      <w:r>
        <w:rPr>
          <w:rFonts w:hint="eastAsia" w:ascii="楷体_GB2312" w:hAnsi="楷体" w:eastAsia="楷体_GB2312"/>
          <w:b/>
          <w:bCs/>
          <w:sz w:val="24"/>
          <w:highlight w:val="none"/>
        </w:rPr>
        <w:t>资金不足或未在约定的时间</w:t>
      </w:r>
      <w:r>
        <w:rPr>
          <w:rFonts w:hint="eastAsia" w:ascii="楷体_GB2312" w:hAnsi="楷体" w:eastAsia="楷体_GB2312"/>
          <w:b/>
          <w:bCs/>
          <w:sz w:val="24"/>
          <w:highlight w:val="none"/>
          <w:lang w:val="en-US" w:eastAsia="zh-CN"/>
        </w:rPr>
        <w:t>内</w:t>
      </w:r>
      <w:r>
        <w:rPr>
          <w:rFonts w:hint="eastAsia" w:ascii="楷体_GB2312" w:hAnsi="楷体" w:eastAsia="楷体_GB2312"/>
          <w:b/>
          <w:bCs/>
          <w:sz w:val="24"/>
          <w:highlight w:val="none"/>
        </w:rPr>
        <w:t>购买本</w:t>
      </w:r>
      <w:r>
        <w:rPr>
          <w:rFonts w:hint="eastAsia" w:ascii="楷体_GB2312" w:hAnsi="楷体" w:eastAsia="楷体_GB2312"/>
          <w:b/>
          <w:bCs/>
          <w:sz w:val="24"/>
          <w:highlight w:val="none"/>
          <w:lang w:val="en-US" w:eastAsia="zh-CN"/>
        </w:rPr>
        <w:t>理财</w:t>
      </w:r>
      <w:r>
        <w:rPr>
          <w:rFonts w:hint="eastAsia" w:ascii="楷体_GB2312" w:hAnsi="楷体" w:eastAsia="楷体_GB2312"/>
          <w:b/>
          <w:bCs/>
          <w:sz w:val="24"/>
          <w:highlight w:val="none"/>
        </w:rPr>
        <w:t>产品而导致交易失败的，产品管理人不承担</w:t>
      </w:r>
      <w:r>
        <w:rPr>
          <w:rFonts w:hint="eastAsia" w:ascii="楷体_GB2312" w:hAnsi="楷体" w:eastAsia="楷体_GB2312"/>
          <w:b/>
          <w:bCs/>
          <w:sz w:val="24"/>
          <w:highlight w:val="none"/>
          <w:lang w:val="en-US" w:eastAsia="zh-CN"/>
        </w:rPr>
        <w:t>任何</w:t>
      </w:r>
      <w:r>
        <w:rPr>
          <w:rFonts w:hint="eastAsia" w:ascii="楷体_GB2312" w:hAnsi="楷体" w:eastAsia="楷体_GB2312"/>
          <w:b/>
          <w:bCs/>
          <w:sz w:val="24"/>
          <w:highlight w:val="none"/>
        </w:rPr>
        <w:t>责任。</w:t>
      </w:r>
    </w:p>
    <w:p w14:paraId="0D709E7E">
      <w:pPr>
        <w:ind w:firstLine="480" w:firstLineChars="200"/>
        <w:rPr>
          <w:rFonts w:ascii="楷体_GB2312" w:hAnsi="楷体" w:eastAsia="楷体_GB2312"/>
          <w:sz w:val="24"/>
          <w:highlight w:val="none"/>
        </w:rPr>
      </w:pPr>
      <w:r>
        <w:rPr>
          <w:rFonts w:ascii="楷体_GB2312" w:hAnsi="楷体" w:eastAsia="楷体_GB2312"/>
          <w:sz w:val="24"/>
          <w:highlight w:val="none"/>
        </w:rPr>
        <w:t>（三）双方同意</w:t>
      </w:r>
    </w:p>
    <w:p w14:paraId="45614FB1">
      <w:pPr>
        <w:ind w:firstLine="480" w:firstLineChars="200"/>
        <w:rPr>
          <w:rFonts w:ascii="楷体_GB2312" w:hAnsi="楷体" w:eastAsia="楷体_GB2312"/>
          <w:sz w:val="24"/>
          <w:highlight w:val="none"/>
        </w:rPr>
      </w:pPr>
      <w:r>
        <w:rPr>
          <w:rFonts w:hint="eastAsia" w:ascii="楷体_GB2312" w:hAnsi="楷体" w:eastAsia="楷体_GB2312"/>
          <w:sz w:val="24"/>
          <w:highlight w:val="none"/>
        </w:rPr>
        <w:t>1.产品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以北银理财</w:t>
      </w:r>
      <w:bookmarkStart w:id="2" w:name="_Hlk146058283"/>
      <w:r>
        <w:rPr>
          <w:rFonts w:hint="eastAsia" w:ascii="楷体_GB2312" w:hAnsi="楷体" w:eastAsia="楷体_GB2312"/>
          <w:sz w:val="24"/>
          <w:highlight w:val="none"/>
        </w:rPr>
        <w:t>或本理财产品</w:t>
      </w:r>
      <w:bookmarkEnd w:id="2"/>
      <w:r>
        <w:rPr>
          <w:rFonts w:ascii="楷体_GB2312" w:hAnsi="楷体" w:eastAsia="楷体_GB2312"/>
          <w:sz w:val="24"/>
          <w:highlight w:val="none"/>
        </w:rPr>
        <w:t>的名义，代表投资者利益行使诉讼权利或者实施其他法律行为，由此产生的费用由</w:t>
      </w:r>
      <w:r>
        <w:rPr>
          <w:rFonts w:hint="eastAsia" w:ascii="楷体_GB2312" w:hAnsi="楷体" w:eastAsia="楷体_GB2312"/>
          <w:sz w:val="24"/>
          <w:highlight w:val="none"/>
          <w:lang w:val="en-US" w:eastAsia="zh-CN"/>
        </w:rPr>
        <w:t>本</w:t>
      </w:r>
      <w:r>
        <w:rPr>
          <w:rFonts w:ascii="楷体_GB2312" w:hAnsi="楷体" w:eastAsia="楷体_GB2312"/>
          <w:sz w:val="24"/>
          <w:highlight w:val="none"/>
        </w:rPr>
        <w:t>理财产品承担</w:t>
      </w:r>
      <w:r>
        <w:rPr>
          <w:rFonts w:hint="eastAsia" w:ascii="楷体_GB2312" w:hAnsi="楷体" w:eastAsia="楷体_GB2312"/>
          <w:sz w:val="24"/>
          <w:highlight w:val="none"/>
        </w:rPr>
        <w:t>。</w:t>
      </w:r>
    </w:p>
    <w:p w14:paraId="73401934">
      <w:p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rPr>
        <w:t>★2.</w:t>
      </w:r>
      <w:r>
        <w:rPr>
          <w:rFonts w:ascii="楷体_GB2312" w:hAnsi="楷体" w:eastAsia="楷体_GB2312"/>
          <w:b/>
          <w:bCs/>
          <w:sz w:val="24"/>
          <w:highlight w:val="none"/>
        </w:rPr>
        <w:t>产品</w:t>
      </w:r>
      <w:r>
        <w:rPr>
          <w:rFonts w:hint="eastAsia" w:ascii="楷体_GB2312" w:hAnsi="楷体" w:eastAsia="楷体_GB2312"/>
          <w:b/>
          <w:bCs/>
          <w:sz w:val="24"/>
          <w:highlight w:val="none"/>
          <w:lang w:eastAsia="zh-CN"/>
        </w:rPr>
        <w:t>管理人</w:t>
      </w:r>
      <w:r>
        <w:rPr>
          <w:rFonts w:ascii="楷体_GB2312" w:hAnsi="楷体" w:eastAsia="楷体_GB2312"/>
          <w:b/>
          <w:bCs/>
          <w:sz w:val="24"/>
          <w:highlight w:val="none"/>
        </w:rPr>
        <w:t>不承担对第三人支付</w:t>
      </w:r>
      <w:r>
        <w:rPr>
          <w:rFonts w:hint="eastAsia" w:ascii="楷体_GB2312" w:hAnsi="楷体" w:eastAsia="楷体_GB2312"/>
          <w:b/>
          <w:bCs/>
          <w:sz w:val="24"/>
          <w:highlight w:val="none"/>
          <w:lang w:eastAsia="zh-CN"/>
        </w:rPr>
        <w:t>本理财产品</w:t>
      </w:r>
      <w:r>
        <w:rPr>
          <w:rFonts w:ascii="楷体_GB2312" w:hAnsi="楷体" w:eastAsia="楷体_GB2312"/>
          <w:b/>
          <w:bCs/>
          <w:sz w:val="24"/>
          <w:highlight w:val="none"/>
        </w:rPr>
        <w:t xml:space="preserve">项下投资者应得清算分配金额以及相关权益的责任，法律法规另有规定的除外。 </w:t>
      </w:r>
    </w:p>
    <w:p w14:paraId="63A0A496">
      <w:pPr>
        <w:ind w:firstLine="480" w:firstLineChars="200"/>
        <w:rPr>
          <w:rFonts w:ascii="楷体_GB2312" w:hAnsi="楷体" w:eastAsia="楷体_GB2312"/>
          <w:sz w:val="24"/>
          <w:highlight w:val="none"/>
        </w:rPr>
      </w:pPr>
      <w:r>
        <w:rPr>
          <w:rFonts w:hint="eastAsia" w:ascii="楷体_GB2312" w:hAnsi="楷体" w:eastAsia="楷体_GB2312"/>
          <w:sz w:val="24"/>
          <w:highlight w:val="none"/>
        </w:rPr>
        <w:t>3.</w:t>
      </w:r>
      <w:r>
        <w:rPr>
          <w:rFonts w:ascii="楷体_GB2312" w:hAnsi="楷体" w:eastAsia="楷体_GB2312"/>
          <w:sz w:val="24"/>
          <w:highlight w:val="none"/>
        </w:rPr>
        <w:t>本</w:t>
      </w:r>
      <w:r>
        <w:rPr>
          <w:rFonts w:hint="eastAsia" w:ascii="楷体_GB2312" w:hAnsi="楷体" w:eastAsia="楷体_GB2312"/>
          <w:sz w:val="24"/>
          <w:highlight w:val="none"/>
        </w:rPr>
        <w:t>理财产品销售文件</w:t>
      </w:r>
      <w:r>
        <w:rPr>
          <w:rFonts w:ascii="楷体_GB2312" w:hAnsi="楷体" w:eastAsia="楷体_GB2312"/>
          <w:sz w:val="24"/>
          <w:highlight w:val="none"/>
        </w:rPr>
        <w:t>项下理财业务不受</w:t>
      </w:r>
      <w:r>
        <w:rPr>
          <w:rFonts w:hint="eastAsia" w:ascii="楷体_GB2312" w:hAnsi="楷体" w:eastAsia="楷体_GB2312"/>
          <w:sz w:val="24"/>
          <w:highlight w:val="none"/>
        </w:rPr>
        <w:t>代理销售机构</w:t>
      </w:r>
      <w:r>
        <w:rPr>
          <w:rFonts w:ascii="楷体_GB2312" w:hAnsi="楷体" w:eastAsia="楷体_GB2312"/>
          <w:sz w:val="24"/>
          <w:highlight w:val="none"/>
        </w:rPr>
        <w:t>存款保险机制或其他保障机制保障</w:t>
      </w:r>
      <w:r>
        <w:rPr>
          <w:rFonts w:hint="eastAsia" w:ascii="楷体_GB2312" w:hAnsi="楷体" w:eastAsia="楷体_GB2312"/>
          <w:sz w:val="24"/>
          <w:highlight w:val="none"/>
        </w:rPr>
        <w:t>，</w:t>
      </w:r>
      <w:bookmarkStart w:id="3" w:name="_Hlk146058293"/>
      <w:r>
        <w:rPr>
          <w:rFonts w:hint="eastAsia" w:ascii="楷体_GB2312" w:hAnsi="楷体" w:eastAsia="楷体_GB2312"/>
          <w:sz w:val="24"/>
          <w:highlight w:val="none"/>
        </w:rPr>
        <w:t>产品</w:t>
      </w:r>
      <w:r>
        <w:rPr>
          <w:rFonts w:hint="eastAsia" w:ascii="楷体_GB2312" w:hAnsi="楷体" w:eastAsia="楷体_GB2312"/>
          <w:sz w:val="24"/>
          <w:highlight w:val="none"/>
          <w:lang w:eastAsia="zh-CN"/>
        </w:rPr>
        <w:t>管理人</w:t>
      </w:r>
      <w:r>
        <w:rPr>
          <w:rFonts w:hint="eastAsia" w:ascii="楷体_GB2312" w:hAnsi="楷体" w:eastAsia="楷体_GB2312"/>
          <w:sz w:val="24"/>
          <w:highlight w:val="none"/>
        </w:rPr>
        <w:t>不对</w:t>
      </w:r>
      <w:r>
        <w:rPr>
          <w:rFonts w:hint="eastAsia" w:ascii="楷体_GB2312" w:hAnsi="楷体" w:eastAsia="楷体_GB2312"/>
          <w:sz w:val="24"/>
          <w:highlight w:val="none"/>
          <w:lang w:eastAsia="zh-CN"/>
        </w:rPr>
        <w:t>本</w:t>
      </w:r>
      <w:r>
        <w:rPr>
          <w:rFonts w:hint="eastAsia" w:ascii="楷体_GB2312" w:hAnsi="楷体" w:eastAsia="楷体_GB2312"/>
          <w:sz w:val="24"/>
          <w:highlight w:val="none"/>
        </w:rPr>
        <w:t>理财产品的本金或收益做出任何承诺或保证</w:t>
      </w:r>
      <w:bookmarkEnd w:id="3"/>
      <w:r>
        <w:rPr>
          <w:rFonts w:ascii="楷体_GB2312" w:hAnsi="楷体" w:eastAsia="楷体_GB2312"/>
          <w:sz w:val="24"/>
          <w:highlight w:val="none"/>
        </w:rPr>
        <w:t xml:space="preserve">。 </w:t>
      </w:r>
    </w:p>
    <w:p w14:paraId="1F1FED18">
      <w:pPr>
        <w:ind w:firstLine="480" w:firstLineChars="200"/>
        <w:rPr>
          <w:rFonts w:ascii="楷体_GB2312" w:hAnsi="楷体" w:eastAsia="楷体_GB2312"/>
          <w:sz w:val="24"/>
          <w:highlight w:val="none"/>
        </w:rPr>
      </w:pPr>
      <w:r>
        <w:rPr>
          <w:rFonts w:hint="eastAsia" w:ascii="楷体_GB2312" w:hAnsi="楷体" w:eastAsia="楷体_GB2312"/>
          <w:sz w:val="24"/>
          <w:highlight w:val="none"/>
        </w:rPr>
        <w:t>★4.</w:t>
      </w:r>
      <w:r>
        <w:rPr>
          <w:rFonts w:ascii="楷体_GB2312" w:hAnsi="楷体" w:eastAsia="楷体_GB2312"/>
          <w:sz w:val="24"/>
          <w:highlight w:val="none"/>
        </w:rPr>
        <w:t>本理财产品运作过程中涉及的各纳税主体，其纳税义务按国家税收法律、法规执行。除法律法规特别要求外，投资者应缴纳的税收由投资者负责，产品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不承担代扣代缴或纳税的义务。</w:t>
      </w:r>
      <w:r>
        <w:rPr>
          <w:rFonts w:hint="eastAsia" w:ascii="楷体_GB2312" w:hAnsi="楷体" w:eastAsia="楷体_GB2312"/>
          <w:sz w:val="24"/>
          <w:highlight w:val="none"/>
          <w:lang w:eastAsia="zh-CN"/>
        </w:rPr>
        <w:t>本</w:t>
      </w:r>
      <w:r>
        <w:rPr>
          <w:rFonts w:ascii="楷体_GB2312" w:hAnsi="楷体" w:eastAsia="楷体_GB2312"/>
          <w:sz w:val="24"/>
          <w:highlight w:val="none"/>
        </w:rPr>
        <w:t>理财产品运营过程中发生的应由</w:t>
      </w:r>
      <w:r>
        <w:rPr>
          <w:rFonts w:hint="eastAsia" w:ascii="楷体_GB2312" w:hAnsi="楷体" w:eastAsia="楷体_GB2312"/>
          <w:sz w:val="24"/>
          <w:highlight w:val="none"/>
          <w:lang w:eastAsia="zh-CN"/>
        </w:rPr>
        <w:t>本</w:t>
      </w:r>
      <w:r>
        <w:rPr>
          <w:rFonts w:ascii="楷体_GB2312" w:hAnsi="楷体" w:eastAsia="楷体_GB2312"/>
          <w:sz w:val="24"/>
          <w:highlight w:val="none"/>
        </w:rPr>
        <w:t>理财产品承担的增值税应税行为，由产品</w:t>
      </w:r>
      <w:r>
        <w:rPr>
          <w:rFonts w:hint="eastAsia" w:ascii="楷体_GB2312" w:hAnsi="楷体" w:eastAsia="楷体_GB2312"/>
          <w:sz w:val="24"/>
          <w:highlight w:val="none"/>
          <w:lang w:eastAsia="zh-CN"/>
        </w:rPr>
        <w:t>管理人</w:t>
      </w:r>
      <w:r>
        <w:rPr>
          <w:rFonts w:ascii="楷体_GB2312" w:hAnsi="楷体" w:eastAsia="楷体_GB2312"/>
          <w:sz w:val="24"/>
          <w:highlight w:val="none"/>
        </w:rPr>
        <w:t>申报和缴纳增值税及附加税费，该等税款直接从</w:t>
      </w:r>
      <w:r>
        <w:rPr>
          <w:rFonts w:hint="eastAsia" w:ascii="楷体_GB2312" w:hAnsi="楷体" w:eastAsia="楷体_GB2312"/>
          <w:sz w:val="24"/>
          <w:highlight w:val="none"/>
          <w:lang w:eastAsia="zh-CN"/>
        </w:rPr>
        <w:t>本</w:t>
      </w:r>
      <w:r>
        <w:rPr>
          <w:rFonts w:ascii="楷体_GB2312" w:hAnsi="楷体" w:eastAsia="楷体_GB2312"/>
          <w:sz w:val="24"/>
          <w:highlight w:val="none"/>
        </w:rPr>
        <w:t>理财产品账户中扣付缴纳。</w:t>
      </w:r>
    </w:p>
    <w:p w14:paraId="305B3A83">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5</w:t>
      </w:r>
      <w:r>
        <w:rPr>
          <w:rFonts w:hint="eastAsia" w:ascii="楷体_GB2312" w:hAnsi="楷体" w:eastAsia="楷体_GB2312"/>
          <w:sz w:val="24"/>
          <w:highlight w:val="none"/>
        </w:rPr>
        <w:t>.</w:t>
      </w:r>
      <w:r>
        <w:rPr>
          <w:rFonts w:ascii="楷体_GB2312" w:hAnsi="楷体" w:eastAsia="楷体_GB2312"/>
          <w:sz w:val="24"/>
          <w:highlight w:val="none"/>
        </w:rPr>
        <w:t>产品管理人按照</w:t>
      </w:r>
      <w:r>
        <w:rPr>
          <w:rFonts w:hint="eastAsia" w:ascii="楷体_GB2312" w:hAnsi="楷体" w:eastAsia="楷体_GB2312"/>
          <w:sz w:val="24"/>
          <w:highlight w:val="none"/>
          <w:lang w:val="en-US" w:eastAsia="zh-CN"/>
        </w:rPr>
        <w:t>本</w:t>
      </w:r>
      <w:r>
        <w:rPr>
          <w:rFonts w:ascii="楷体_GB2312" w:hAnsi="楷体" w:eastAsia="楷体_GB2312"/>
          <w:sz w:val="24"/>
          <w:highlight w:val="none"/>
        </w:rPr>
        <w:t>理财产品</w:t>
      </w:r>
      <w:r>
        <w:rPr>
          <w:rFonts w:hint="eastAsia" w:ascii="楷体_GB2312" w:hAnsi="楷体" w:eastAsia="楷体_GB2312"/>
          <w:sz w:val="24"/>
          <w:highlight w:val="none"/>
          <w:lang w:val="en-US" w:eastAsia="zh-CN"/>
        </w:rPr>
        <w:t>销售文件</w:t>
      </w:r>
      <w:r>
        <w:rPr>
          <w:rFonts w:ascii="楷体_GB2312" w:hAnsi="楷体" w:eastAsia="楷体_GB2312"/>
          <w:sz w:val="24"/>
          <w:highlight w:val="none"/>
        </w:rPr>
        <w:t>的约定办理</w:t>
      </w:r>
      <w:r>
        <w:rPr>
          <w:rFonts w:hint="eastAsia" w:ascii="楷体_GB2312" w:hAnsi="楷体" w:eastAsia="楷体_GB2312"/>
          <w:sz w:val="24"/>
          <w:highlight w:val="none"/>
          <w:lang w:val="en-US" w:eastAsia="zh-CN"/>
        </w:rPr>
        <w:t>本</w:t>
      </w:r>
      <w:r>
        <w:rPr>
          <w:rFonts w:ascii="楷体_GB2312" w:hAnsi="楷体" w:eastAsia="楷体_GB2312"/>
          <w:sz w:val="24"/>
          <w:highlight w:val="none"/>
        </w:rPr>
        <w:t>理财产品的认（申）购、赎回，暂停或者开放认（申）购、赎回等业务的，将按照</w:t>
      </w:r>
      <w:r>
        <w:rPr>
          <w:rFonts w:hint="eastAsia" w:ascii="楷体_GB2312" w:hAnsi="楷体" w:eastAsia="楷体_GB2312"/>
          <w:sz w:val="24"/>
          <w:highlight w:val="none"/>
          <w:lang w:val="en-US" w:eastAsia="zh-CN"/>
        </w:rPr>
        <w:t>本</w:t>
      </w:r>
      <w:r>
        <w:rPr>
          <w:rFonts w:ascii="楷体_GB2312" w:hAnsi="楷体" w:eastAsia="楷体_GB2312"/>
          <w:sz w:val="24"/>
          <w:highlight w:val="none"/>
        </w:rPr>
        <w:t>理财产品</w:t>
      </w:r>
      <w:r>
        <w:rPr>
          <w:rFonts w:hint="eastAsia" w:ascii="楷体_GB2312" w:hAnsi="楷体" w:eastAsia="楷体_GB2312"/>
          <w:sz w:val="24"/>
          <w:highlight w:val="none"/>
          <w:lang w:val="en-US" w:eastAsia="zh-CN"/>
        </w:rPr>
        <w:t>销售文件</w:t>
      </w:r>
      <w:r>
        <w:rPr>
          <w:rFonts w:ascii="楷体_GB2312" w:hAnsi="楷体" w:eastAsia="楷体_GB2312"/>
          <w:sz w:val="24"/>
          <w:highlight w:val="none"/>
        </w:rPr>
        <w:t>约定</w:t>
      </w:r>
      <w:r>
        <w:rPr>
          <w:rFonts w:hint="eastAsia" w:ascii="楷体_GB2312" w:hAnsi="楷体" w:eastAsia="楷体_GB2312"/>
          <w:sz w:val="24"/>
          <w:highlight w:val="none"/>
          <w:lang w:val="en-US" w:eastAsia="zh-CN"/>
        </w:rPr>
        <w:t>进行</w:t>
      </w:r>
      <w:r>
        <w:rPr>
          <w:rFonts w:ascii="楷体_GB2312" w:hAnsi="楷体" w:eastAsia="楷体_GB2312"/>
          <w:sz w:val="24"/>
          <w:highlight w:val="none"/>
        </w:rPr>
        <w:t>信息披露。</w:t>
      </w:r>
    </w:p>
    <w:p w14:paraId="2AC8EF2F">
      <w:pPr>
        <w:ind w:firstLine="482" w:firstLineChars="200"/>
        <w:rPr>
          <w:rFonts w:hint="eastAsia" w:ascii="楷体_GB2312" w:hAnsi="楷体" w:eastAsia="楷体_GB2312"/>
          <w:b/>
          <w:bCs/>
          <w:sz w:val="24"/>
          <w:highlight w:val="none"/>
        </w:rPr>
      </w:pPr>
      <w:r>
        <w:rPr>
          <w:rFonts w:hint="eastAsia" w:ascii="楷体_GB2312" w:hAnsi="楷体" w:eastAsia="楷体_GB2312"/>
          <w:b/>
          <w:bCs/>
          <w:sz w:val="24"/>
          <w:highlight w:val="none"/>
        </w:rPr>
        <w:t>★</w:t>
      </w:r>
      <w:r>
        <w:rPr>
          <w:rFonts w:hint="eastAsia" w:ascii="楷体_GB2312" w:hAnsi="楷体" w:eastAsia="楷体_GB2312"/>
          <w:b/>
          <w:bCs/>
          <w:sz w:val="24"/>
          <w:highlight w:val="none"/>
          <w:lang w:val="en-US" w:eastAsia="zh-CN"/>
        </w:rPr>
        <w:t>6</w:t>
      </w:r>
      <w:r>
        <w:rPr>
          <w:rFonts w:hint="eastAsia" w:ascii="楷体_GB2312" w:hAnsi="楷体" w:eastAsia="楷体_GB2312"/>
          <w:b/>
          <w:bCs/>
          <w:sz w:val="24"/>
          <w:highlight w:val="none"/>
        </w:rPr>
        <w:t>.</w:t>
      </w:r>
      <w:r>
        <w:rPr>
          <w:rFonts w:hint="eastAsia" w:ascii="楷体_GB2312" w:hAnsi="楷体" w:eastAsia="楷体_GB2312"/>
          <w:b/>
          <w:bCs/>
          <w:sz w:val="24"/>
          <w:highlight w:val="none"/>
          <w:lang w:eastAsia="zh-CN"/>
        </w:rPr>
        <w:t>产品管理人</w:t>
      </w:r>
      <w:r>
        <w:rPr>
          <w:rFonts w:ascii="楷体_GB2312" w:hAnsi="楷体" w:eastAsia="楷体_GB2312"/>
          <w:b/>
          <w:bCs/>
          <w:sz w:val="24"/>
          <w:highlight w:val="none"/>
        </w:rPr>
        <w:t>将按照《</w:t>
      </w:r>
      <w:r>
        <w:rPr>
          <w:rFonts w:hint="eastAsia" w:ascii="楷体_GB2312" w:hAnsi="楷体" w:eastAsia="楷体_GB2312"/>
          <w:b/>
          <w:bCs/>
          <w:sz w:val="24"/>
          <w:highlight w:val="none"/>
        </w:rPr>
        <w:t>中华人民共和国</w:t>
      </w:r>
      <w:r>
        <w:rPr>
          <w:rFonts w:ascii="楷体_GB2312" w:hAnsi="楷体" w:eastAsia="楷体_GB2312"/>
          <w:b/>
          <w:bCs/>
          <w:sz w:val="24"/>
          <w:highlight w:val="none"/>
        </w:rPr>
        <w:t>个人信息保护法》等法律法规、监管规定、自律组织要求和本</w:t>
      </w:r>
      <w:r>
        <w:rPr>
          <w:rFonts w:hint="eastAsia" w:ascii="楷体_GB2312" w:hAnsi="楷体" w:eastAsia="楷体_GB2312"/>
          <w:b/>
          <w:bCs/>
          <w:sz w:val="24"/>
          <w:highlight w:val="none"/>
          <w:lang w:eastAsia="zh-CN"/>
        </w:rPr>
        <w:t>理财产品销售文件</w:t>
      </w:r>
      <w:r>
        <w:rPr>
          <w:rFonts w:ascii="楷体_GB2312" w:hAnsi="楷体" w:eastAsia="楷体_GB2312"/>
          <w:b/>
          <w:bCs/>
          <w:sz w:val="24"/>
          <w:highlight w:val="none"/>
        </w:rPr>
        <w:t>的约定，严格履行投资者信息保密义务。投资者在此授权并同意，</w:t>
      </w:r>
      <w:r>
        <w:rPr>
          <w:rFonts w:hint="eastAsia" w:ascii="楷体_GB2312" w:hAnsi="楷体" w:eastAsia="楷体_GB2312"/>
          <w:b/>
          <w:bCs/>
          <w:sz w:val="24"/>
          <w:highlight w:val="none"/>
          <w:lang w:eastAsia="zh-CN"/>
        </w:rPr>
        <w:t>产品管理人</w:t>
      </w:r>
      <w:r>
        <w:rPr>
          <w:rFonts w:ascii="楷体_GB2312" w:hAnsi="楷体" w:eastAsia="楷体_GB2312"/>
          <w:b/>
          <w:bCs/>
          <w:sz w:val="24"/>
          <w:highlight w:val="none"/>
        </w:rPr>
        <w:t>将遵循合法、正当、必要和诚信的原则，在为投资者办理本</w:t>
      </w:r>
      <w:r>
        <w:rPr>
          <w:rFonts w:hint="eastAsia" w:ascii="楷体_GB2312" w:hAnsi="楷体" w:eastAsia="楷体_GB2312"/>
          <w:b/>
          <w:bCs/>
          <w:sz w:val="24"/>
          <w:highlight w:val="none"/>
          <w:lang w:eastAsia="zh-CN"/>
        </w:rPr>
        <w:t>理财产品销售文件</w:t>
      </w:r>
      <w:r>
        <w:rPr>
          <w:rFonts w:ascii="楷体_GB2312" w:hAnsi="楷体" w:eastAsia="楷体_GB2312"/>
          <w:b/>
          <w:bCs/>
          <w:sz w:val="24"/>
          <w:highlight w:val="none"/>
        </w:rPr>
        <w:t>项下事项所必需的情形下，采取收集、存储、使用、加工、传输、提供等方式处理投资者信息，同时可向托管机构、监管机构、自律组织、理财登记备案机构、投资合作机构、客户服务热线机构、理财快速赎回服务提供方等提供、留存投资者信息，并要求上述信息接收方按照法律法规规定履行投资者信息保密义务。前述投资者信息包括个人基本信息、联络信息、身份信息、财产信息、账户及相关信息、交易信息、投资经验、风险偏好与投资目标、在与投资者建立业务关系过程中及服务过程中产生、获取、保存的其他与业务相关的个人信息及法律法规规定的其他必要信息。除法律法规及监管规范另有规定或者投资者同意披露外，</w:t>
      </w:r>
      <w:r>
        <w:rPr>
          <w:rFonts w:hint="eastAsia" w:ascii="楷体_GB2312" w:hAnsi="楷体" w:eastAsia="楷体_GB2312"/>
          <w:b/>
          <w:bCs/>
          <w:sz w:val="24"/>
          <w:highlight w:val="none"/>
          <w:lang w:eastAsia="zh-CN"/>
        </w:rPr>
        <w:t>产品管理人</w:t>
      </w:r>
      <w:r>
        <w:rPr>
          <w:rFonts w:ascii="楷体_GB2312" w:hAnsi="楷体" w:eastAsia="楷体_GB2312"/>
          <w:b/>
          <w:bCs/>
          <w:sz w:val="24"/>
          <w:highlight w:val="none"/>
        </w:rPr>
        <w:t>不得向任何组织、个人提供或泄漏与投资者有关的资料和信息</w:t>
      </w:r>
      <w:r>
        <w:rPr>
          <w:rFonts w:hint="eastAsia" w:ascii="楷体_GB2312" w:hAnsi="楷体" w:eastAsia="楷体_GB2312"/>
          <w:b/>
          <w:bCs/>
          <w:sz w:val="24"/>
          <w:highlight w:val="none"/>
        </w:rPr>
        <w:t>。</w:t>
      </w:r>
    </w:p>
    <w:p w14:paraId="467258DD">
      <w:pPr>
        <w:pStyle w:val="2"/>
        <w:ind w:left="0" w:leftChars="0" w:firstLine="482" w:firstLineChars="200"/>
      </w:pPr>
      <w:r>
        <w:rPr>
          <w:rFonts w:hint="eastAsia" w:ascii="楷体_GB2312" w:hAnsi="楷体" w:eastAsia="楷体_GB2312" w:cs="Times New Roman"/>
          <w:b/>
          <w:bCs/>
          <w:kern w:val="2"/>
          <w:sz w:val="24"/>
          <w:szCs w:val="24"/>
          <w:highlight w:val="none"/>
          <w:u w:val="none"/>
          <w:lang w:val="en-US" w:eastAsia="zh-CN" w:bidi="ar-SA"/>
        </w:rPr>
        <w:t>根据法律法规规定，共享、转让经去标识化处理的个人信息，且确保数据接收方无法复制并重新识别个人信息主体的，不属于个人信息的对外共享、转让及公开披露行为，对此类数据的保存及处理将无需另行向您通知并征得您的同意。</w:t>
      </w:r>
    </w:p>
    <w:p w14:paraId="0AAA368E">
      <w:pPr>
        <w:rPr>
          <w:rFonts w:ascii="楷体_GB2312" w:hAnsi="楷体" w:eastAsia="楷体_GB2312"/>
          <w:b/>
          <w:bCs/>
          <w:sz w:val="24"/>
          <w:highlight w:val="none"/>
        </w:rPr>
      </w:pPr>
      <w:r>
        <w:rPr>
          <w:rFonts w:hint="eastAsia" w:ascii="楷体_GB2312" w:hAnsi="楷体" w:eastAsia="楷体_GB2312"/>
          <w:b/>
          <w:bCs/>
          <w:sz w:val="24"/>
          <w:highlight w:val="none"/>
        </w:rPr>
        <w:t xml:space="preserve">   ★</w:t>
      </w:r>
      <w:r>
        <w:rPr>
          <w:rFonts w:hint="eastAsia" w:ascii="楷体_GB2312" w:hAnsi="楷体" w:eastAsia="楷体_GB2312"/>
          <w:b/>
          <w:bCs/>
          <w:sz w:val="24"/>
          <w:highlight w:val="none"/>
          <w:lang w:val="en-US" w:eastAsia="zh-CN"/>
        </w:rPr>
        <w:t>7</w:t>
      </w:r>
      <w:r>
        <w:rPr>
          <w:rFonts w:hint="eastAsia" w:ascii="楷体_GB2312" w:hAnsi="楷体" w:eastAsia="楷体_GB2312"/>
          <w:b/>
          <w:bCs/>
          <w:sz w:val="24"/>
          <w:highlight w:val="none"/>
        </w:rPr>
        <w:t>.</w:t>
      </w:r>
      <w:r>
        <w:rPr>
          <w:rFonts w:hint="eastAsia" w:ascii="楷体_GB2312" w:hAnsi="楷体" w:eastAsia="楷体_GB2312"/>
          <w:b/>
          <w:bCs/>
          <w:sz w:val="24"/>
          <w:highlight w:val="none"/>
          <w:lang w:val="en-US" w:eastAsia="zh-CN"/>
        </w:rPr>
        <w:t>投资者在此</w:t>
      </w:r>
      <w:r>
        <w:rPr>
          <w:rFonts w:hint="eastAsia" w:ascii="楷体_GB2312" w:hAnsi="楷体" w:eastAsia="楷体_GB2312" w:cs="Times New Roman"/>
          <w:b/>
          <w:bCs/>
          <w:kern w:val="2"/>
          <w:sz w:val="24"/>
          <w:szCs w:val="24"/>
          <w:highlight w:val="none"/>
        </w:rPr>
        <w:t>确认理解并认可</w:t>
      </w:r>
      <w:r>
        <w:rPr>
          <w:rFonts w:hint="eastAsia" w:ascii="楷体_GB2312" w:hAnsi="楷体" w:eastAsia="楷体_GB2312" w:cs="Times New Roman"/>
          <w:b/>
          <w:bCs/>
          <w:kern w:val="2"/>
          <w:sz w:val="24"/>
          <w:szCs w:val="24"/>
          <w:highlight w:val="none"/>
          <w:lang w:eastAsia="zh-CN"/>
        </w:rPr>
        <w:t>，</w:t>
      </w:r>
      <w:r>
        <w:rPr>
          <w:rFonts w:ascii="楷体_GB2312" w:hAnsi="楷体" w:eastAsia="楷体_GB2312"/>
          <w:b/>
          <w:bCs/>
          <w:sz w:val="24"/>
          <w:highlight w:val="none"/>
        </w:rPr>
        <w:t>因</w:t>
      </w:r>
      <w:r>
        <w:rPr>
          <w:rFonts w:hint="eastAsia" w:ascii="楷体_GB2312" w:hAnsi="楷体" w:eastAsia="楷体_GB2312"/>
          <w:b/>
          <w:bCs/>
          <w:sz w:val="24"/>
          <w:highlight w:val="none"/>
          <w:lang w:eastAsia="zh-CN"/>
        </w:rPr>
        <w:t>本</w:t>
      </w:r>
      <w:r>
        <w:rPr>
          <w:rFonts w:ascii="楷体_GB2312" w:hAnsi="楷体" w:eastAsia="楷体_GB2312"/>
          <w:b/>
          <w:bCs/>
          <w:sz w:val="24"/>
          <w:highlight w:val="none"/>
        </w:rPr>
        <w:t>理财产品管理运作的需要，</w:t>
      </w:r>
      <w:r>
        <w:rPr>
          <w:rFonts w:hint="eastAsia" w:ascii="楷体_GB2312" w:hAnsi="楷体" w:eastAsia="楷体_GB2312"/>
          <w:b/>
          <w:bCs/>
          <w:sz w:val="24"/>
          <w:highlight w:val="none"/>
          <w:lang w:eastAsia="zh-CN"/>
        </w:rPr>
        <w:t>产品管理人</w:t>
      </w:r>
      <w:r>
        <w:rPr>
          <w:rFonts w:ascii="楷体_GB2312" w:hAnsi="楷体" w:eastAsia="楷体_GB2312"/>
          <w:b/>
          <w:bCs/>
          <w:sz w:val="24"/>
          <w:highlight w:val="none"/>
        </w:rPr>
        <w:t>可购买、使用、租用专业信息服务供应商提供的信息系统、数据服务等。在使用上述系统的过程中，</w:t>
      </w:r>
      <w:r>
        <w:rPr>
          <w:rFonts w:hint="eastAsia" w:ascii="楷体_GB2312" w:hAnsi="楷体" w:eastAsia="楷体_GB2312"/>
          <w:b/>
          <w:bCs/>
          <w:sz w:val="24"/>
          <w:highlight w:val="none"/>
          <w:lang w:eastAsia="zh-CN"/>
        </w:rPr>
        <w:t>本</w:t>
      </w:r>
      <w:r>
        <w:rPr>
          <w:rFonts w:ascii="楷体_GB2312" w:hAnsi="楷体" w:eastAsia="楷体_GB2312"/>
          <w:b/>
          <w:bCs/>
          <w:sz w:val="24"/>
          <w:highlight w:val="none"/>
        </w:rPr>
        <w:t>理财产品及投资者部分信息可能会被暂时采集并存储在信息服务供应商的服务器上、或由其工作人员进行维护。</w:t>
      </w:r>
      <w:r>
        <w:rPr>
          <w:rFonts w:hint="eastAsia" w:ascii="楷体_GB2312" w:hAnsi="楷体" w:eastAsia="楷体_GB2312"/>
          <w:b/>
          <w:bCs/>
          <w:sz w:val="24"/>
          <w:highlight w:val="none"/>
          <w:lang w:eastAsia="zh-CN"/>
        </w:rPr>
        <w:t>产品管理人</w:t>
      </w:r>
      <w:r>
        <w:rPr>
          <w:rFonts w:ascii="楷体_GB2312" w:hAnsi="楷体" w:eastAsia="楷体_GB2312"/>
          <w:b/>
          <w:bCs/>
          <w:sz w:val="24"/>
          <w:highlight w:val="none"/>
        </w:rPr>
        <w:t>将要求信息服务供应商履行保密义务。</w:t>
      </w:r>
    </w:p>
    <w:p w14:paraId="51FA085E">
      <w:pPr>
        <w:ind w:firstLine="482" w:firstLineChars="200"/>
        <w:rPr>
          <w:rFonts w:hint="eastAsia" w:ascii="楷体_GB2312" w:hAnsi="楷体" w:eastAsia="楷体_GB2312"/>
          <w:b/>
          <w:bCs/>
          <w:sz w:val="24"/>
          <w:highlight w:val="none"/>
        </w:rPr>
      </w:pPr>
      <w:r>
        <w:rPr>
          <w:rFonts w:hint="eastAsia" w:ascii="楷体_GB2312" w:hAnsi="楷体" w:eastAsia="楷体_GB2312"/>
          <w:b/>
          <w:bCs/>
          <w:sz w:val="24"/>
          <w:highlight w:val="none"/>
        </w:rPr>
        <w:t>★</w:t>
      </w:r>
      <w:r>
        <w:rPr>
          <w:rFonts w:ascii="楷体_GB2312" w:hAnsi="楷体" w:eastAsia="楷体_GB2312"/>
          <w:b/>
          <w:bCs/>
          <w:sz w:val="24"/>
          <w:highlight w:val="none"/>
        </w:rPr>
        <w:t>二、</w:t>
      </w:r>
      <w:r>
        <w:rPr>
          <w:rFonts w:hint="eastAsia" w:ascii="楷体_GB2312" w:hAnsi="楷体" w:eastAsia="楷体_GB2312"/>
          <w:b/>
          <w:bCs/>
          <w:sz w:val="24"/>
          <w:highlight w:val="none"/>
        </w:rPr>
        <w:t>免责条款</w:t>
      </w:r>
    </w:p>
    <w:p w14:paraId="1DDE0774">
      <w:pPr>
        <w:numPr>
          <w:ilvl w:val="0"/>
          <w:numId w:val="0"/>
        </w:numPr>
        <w:ind w:firstLine="482" w:firstLineChars="200"/>
        <w:rPr>
          <w:rFonts w:hint="eastAsia" w:ascii="楷体_GB2312" w:hAnsi="楷体" w:eastAsia="楷体_GB2312"/>
          <w:b/>
          <w:bCs/>
          <w:sz w:val="24"/>
          <w:highlight w:val="none"/>
        </w:rPr>
      </w:pPr>
      <w:r>
        <w:rPr>
          <w:rFonts w:hint="eastAsia" w:ascii="楷体_GB2312" w:hAnsi="楷体" w:eastAsia="楷体_GB2312"/>
          <w:b/>
          <w:bCs/>
          <w:sz w:val="24"/>
          <w:highlight w:val="none"/>
          <w:lang w:val="en-US" w:eastAsia="zh-CN"/>
        </w:rPr>
        <w:t>1.</w:t>
      </w:r>
      <w:r>
        <w:rPr>
          <w:rFonts w:hint="eastAsia" w:ascii="楷体_GB2312" w:hAnsi="楷体" w:eastAsia="楷体_GB2312"/>
          <w:b/>
          <w:bCs/>
          <w:sz w:val="24"/>
          <w:highlight w:val="none"/>
        </w:rPr>
        <w:t>由于地震、火灾、战争、疫情、严重传染病等不可抗力导致的交易中断、延误等风险及损失，产品管理人不承担责任，但应在条件允许的情况下通知投资者，并采取一切必要的补救措施以减小不可抗力造成的损失。</w:t>
      </w:r>
    </w:p>
    <w:p w14:paraId="3D046FBC">
      <w:pPr>
        <w:numPr>
          <w:ilvl w:val="0"/>
          <w:numId w:val="0"/>
        </w:numPr>
        <w:ind w:firstLine="482" w:firstLineChars="200"/>
        <w:rPr>
          <w:rFonts w:hint="eastAsia" w:ascii="楷体_GB2312" w:hAnsi="楷体" w:eastAsia="楷体_GB2312"/>
          <w:b/>
          <w:bCs/>
          <w:sz w:val="24"/>
          <w:highlight w:val="none"/>
        </w:rPr>
      </w:pPr>
      <w:r>
        <w:rPr>
          <w:rFonts w:hint="eastAsia" w:ascii="楷体_GB2312" w:hAnsi="楷体" w:eastAsia="楷体_GB2312"/>
          <w:b/>
          <w:bCs/>
          <w:sz w:val="24"/>
          <w:highlight w:val="none"/>
          <w:lang w:val="en-US" w:eastAsia="zh-CN"/>
        </w:rPr>
        <w:t>2.</w:t>
      </w:r>
      <w:r>
        <w:rPr>
          <w:rFonts w:hint="eastAsia" w:ascii="楷体_GB2312" w:hAnsi="楷体" w:eastAsia="楷体_GB2312"/>
          <w:b/>
          <w:bCs/>
          <w:sz w:val="24"/>
          <w:highlight w:val="none"/>
        </w:rPr>
        <w:t>由于国家的有关法律、法规、规章、政策的改变、紧急措施的出台而导致的风险，产品管理人不承担责任。</w:t>
      </w:r>
    </w:p>
    <w:p w14:paraId="1DEF48F5">
      <w:pPr>
        <w:numPr>
          <w:ilvl w:val="0"/>
          <w:numId w:val="0"/>
        </w:numPr>
        <w:ind w:firstLine="482" w:firstLineChars="200"/>
        <w:rPr>
          <w:rFonts w:hint="eastAsia" w:ascii="楷体_GB2312" w:hAnsi="楷体" w:eastAsia="楷体_GB2312"/>
          <w:b/>
          <w:bCs/>
          <w:sz w:val="24"/>
          <w:highlight w:val="none"/>
        </w:rPr>
      </w:pPr>
      <w:r>
        <w:rPr>
          <w:rFonts w:hint="eastAsia" w:ascii="楷体_GB2312" w:hAnsi="楷体" w:eastAsia="楷体_GB2312"/>
          <w:b/>
          <w:bCs/>
          <w:sz w:val="24"/>
          <w:highlight w:val="none"/>
          <w:lang w:val="en-US" w:eastAsia="zh-CN"/>
        </w:rPr>
        <w:t>3.</w:t>
      </w:r>
      <w:r>
        <w:rPr>
          <w:rFonts w:hint="eastAsia" w:ascii="楷体_GB2312" w:hAnsi="楷体" w:eastAsia="楷体_GB2312"/>
          <w:b/>
          <w:bCs/>
          <w:sz w:val="24"/>
          <w:highlight w:val="none"/>
        </w:rPr>
        <w:t>如由于投资者原因，本理财产品销售文件约定的资金账户和理财本金及收益被有权机关要求冻结、扣划，则产品管理人有权根据实际情况全额终止理财交易，并停止向投资者支付投资本金及收益。由于提前终止交易而产生的一切损失及费用将由投资者承担，产品管理人有权将此损失及费用从投资者的资金账户或理财本金以及收益中扣除。</w:t>
      </w:r>
    </w:p>
    <w:p w14:paraId="37585412">
      <w:pPr>
        <w:numPr>
          <w:ilvl w:val="0"/>
          <w:numId w:val="0"/>
        </w:numPr>
        <w:ind w:firstLine="482" w:firstLineChars="200"/>
        <w:rPr>
          <w:rFonts w:hint="eastAsia" w:ascii="楷体_GB2312" w:hAnsi="楷体" w:eastAsia="楷体_GB2312"/>
          <w:b/>
          <w:bCs/>
          <w:sz w:val="24"/>
          <w:highlight w:val="none"/>
        </w:rPr>
      </w:pPr>
      <w:r>
        <w:rPr>
          <w:rFonts w:hint="eastAsia" w:ascii="楷体_GB2312" w:hAnsi="楷体" w:eastAsia="楷体_GB2312"/>
          <w:b/>
          <w:bCs/>
          <w:sz w:val="24"/>
          <w:highlight w:val="none"/>
          <w:lang w:val="en-US" w:eastAsia="zh-CN"/>
        </w:rPr>
        <w:t>4.</w:t>
      </w:r>
      <w:r>
        <w:rPr>
          <w:rFonts w:hint="eastAsia" w:ascii="楷体_GB2312" w:hAnsi="楷体" w:eastAsia="楷体_GB2312"/>
          <w:b/>
          <w:bCs/>
          <w:sz w:val="24"/>
          <w:highlight w:val="none"/>
        </w:rPr>
        <w:t>产品管理人依照恪尽职守、诚实信用、谨慎勤勉的原则管理和运用本理财产品财产，但不保证本理财产品财产中的认（申）购资金本金不受损失，也不保证一定盈利及最低收益。本理财产品运作过程中，产品管理人依据本理财产品销售文件的约定管理和运用本理财产品财产所产生的风险，由本理财产品财产及投资者承担。投资者应充分知晓投资运营的相关风险，其风险应由投资者自担。</w:t>
      </w:r>
    </w:p>
    <w:p w14:paraId="33F2A6BA">
      <w:pPr>
        <w:numPr>
          <w:ilvl w:val="0"/>
          <w:numId w:val="0"/>
        </w:num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lang w:val="en-US" w:eastAsia="zh-CN"/>
        </w:rPr>
        <w:t>5.</w:t>
      </w:r>
      <w:r>
        <w:rPr>
          <w:rFonts w:hint="eastAsia" w:ascii="楷体_GB2312" w:hAnsi="楷体" w:eastAsia="楷体_GB2312"/>
          <w:b/>
          <w:bCs/>
          <w:sz w:val="24"/>
          <w:highlight w:val="none"/>
        </w:rPr>
        <w:t>非因产品管理人原因（包括但不限于投资者遗失本理财产品销售文件、本理财产品销售文件被盗用等原因）造成的损失，产品管理人不承担责任。</w:t>
      </w:r>
    </w:p>
    <w:p w14:paraId="1D31DBD2">
      <w:pPr>
        <w:ind w:firstLine="482" w:firstLineChars="200"/>
        <w:rPr>
          <w:rFonts w:hint="eastAsia" w:ascii="楷体_GB2312" w:hAnsi="楷体" w:eastAsia="楷体_GB2312"/>
          <w:b/>
          <w:bCs/>
          <w:sz w:val="24"/>
          <w:highlight w:val="none"/>
          <w:lang w:val="en-US" w:eastAsia="zh-CN"/>
        </w:rPr>
      </w:pPr>
      <w:r>
        <w:rPr>
          <w:rFonts w:hint="eastAsia" w:ascii="楷体_GB2312" w:hAnsi="楷体" w:eastAsia="楷体_GB2312"/>
          <w:b/>
          <w:bCs/>
          <w:sz w:val="24"/>
          <w:highlight w:val="none"/>
        </w:rPr>
        <w:t>★</w:t>
      </w:r>
      <w:r>
        <w:rPr>
          <w:rFonts w:hint="eastAsia" w:ascii="楷体_GB2312" w:hAnsi="楷体" w:eastAsia="楷体_GB2312"/>
          <w:b/>
          <w:bCs/>
          <w:sz w:val="24"/>
          <w:highlight w:val="none"/>
          <w:lang w:val="en-US" w:eastAsia="zh-CN"/>
        </w:rPr>
        <w:t>三、违约责任</w:t>
      </w:r>
    </w:p>
    <w:p w14:paraId="71C90438">
      <w:pPr>
        <w:pStyle w:val="2"/>
        <w:ind w:left="0" w:leftChars="0" w:firstLine="480" w:firstLineChars="200"/>
        <w:rPr>
          <w:rFonts w:hint="eastAsia" w:ascii="楷体_GB2312" w:hAnsi="楷体" w:eastAsia="楷体_GB2312"/>
          <w:sz w:val="24"/>
          <w:highlight w:val="none"/>
          <w:lang w:val="en-US" w:eastAsia="zh-CN"/>
        </w:rPr>
      </w:pPr>
      <w:r>
        <w:rPr>
          <w:rFonts w:hint="eastAsia" w:ascii="楷体_GB2312" w:hAnsi="楷体" w:eastAsia="楷体_GB2312"/>
          <w:sz w:val="24"/>
          <w:highlight w:val="none"/>
          <w:lang w:val="en-US" w:eastAsia="zh-CN"/>
        </w:rPr>
        <w:t>由于本理财产品销售文件一方当事人未履行或未完全履行其义务，导致本理财产品或守约方遭受损失的，由有过错的一方承担违约责任；如本理财产品销售文件各方当事人均有过错的，各方当事人应按照过错程度承担各自的责任份额。</w:t>
      </w:r>
    </w:p>
    <w:p w14:paraId="1957B4F9">
      <w:p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rPr>
        <w:t>★</w:t>
      </w:r>
      <w:r>
        <w:rPr>
          <w:rFonts w:hint="eastAsia" w:ascii="楷体_GB2312" w:hAnsi="楷体" w:eastAsia="楷体_GB2312"/>
          <w:b/>
          <w:bCs/>
          <w:sz w:val="24"/>
          <w:highlight w:val="none"/>
          <w:lang w:val="en-US" w:eastAsia="zh-CN"/>
        </w:rPr>
        <w:t>四、</w:t>
      </w:r>
      <w:r>
        <w:rPr>
          <w:rFonts w:ascii="楷体_GB2312" w:hAnsi="楷体" w:eastAsia="楷体_GB2312"/>
          <w:b/>
          <w:bCs/>
          <w:sz w:val="24"/>
          <w:highlight w:val="none"/>
        </w:rPr>
        <w:t>适用法律与争议解决</w:t>
      </w:r>
    </w:p>
    <w:p w14:paraId="6DF97598">
      <w:pPr>
        <w:ind w:firstLine="480" w:firstLineChars="200"/>
        <w:rPr>
          <w:rFonts w:ascii="楷体_GB2312" w:hAnsi="楷体" w:eastAsia="楷体_GB2312"/>
          <w:sz w:val="24"/>
          <w:highlight w:val="none"/>
        </w:rPr>
      </w:pPr>
      <w:r>
        <w:rPr>
          <w:rFonts w:ascii="楷体_GB2312" w:hAnsi="楷体" w:eastAsia="楷体_GB2312"/>
          <w:sz w:val="24"/>
          <w:highlight w:val="none"/>
        </w:rPr>
        <w:t>本</w:t>
      </w:r>
      <w:r>
        <w:rPr>
          <w:rFonts w:hint="eastAsia" w:ascii="楷体_GB2312" w:hAnsi="楷体" w:eastAsia="楷体_GB2312"/>
          <w:sz w:val="24"/>
          <w:highlight w:val="none"/>
        </w:rPr>
        <w:t>理财产品销售文件</w:t>
      </w:r>
      <w:r>
        <w:rPr>
          <w:rFonts w:ascii="楷体_GB2312" w:hAnsi="楷体" w:eastAsia="楷体_GB2312"/>
          <w:sz w:val="24"/>
          <w:highlight w:val="none"/>
        </w:rPr>
        <w:t>适用中华人民共和国法律（为本</w:t>
      </w:r>
      <w:r>
        <w:rPr>
          <w:rFonts w:hint="eastAsia" w:ascii="楷体_GB2312" w:hAnsi="楷体" w:eastAsia="楷体_GB2312"/>
          <w:sz w:val="24"/>
          <w:highlight w:val="none"/>
        </w:rPr>
        <w:t>理财产品销售文件</w:t>
      </w:r>
      <w:r>
        <w:rPr>
          <w:rFonts w:ascii="楷体_GB2312" w:hAnsi="楷体" w:eastAsia="楷体_GB2312"/>
          <w:sz w:val="24"/>
          <w:highlight w:val="none"/>
        </w:rPr>
        <w:t>目的，不包括香港特别行政区、澳门特别行政区和台湾地区）。本</w:t>
      </w:r>
      <w:r>
        <w:rPr>
          <w:rFonts w:hint="eastAsia" w:ascii="楷体_GB2312" w:hAnsi="楷体" w:eastAsia="楷体_GB2312"/>
          <w:sz w:val="24"/>
          <w:highlight w:val="none"/>
        </w:rPr>
        <w:t>理财产品销售文件</w:t>
      </w:r>
      <w:r>
        <w:rPr>
          <w:rFonts w:ascii="楷体_GB2312" w:hAnsi="楷体" w:eastAsia="楷体_GB2312"/>
          <w:sz w:val="24"/>
          <w:highlight w:val="none"/>
        </w:rPr>
        <w:t>项下一切争议，</w:t>
      </w:r>
      <w:r>
        <w:rPr>
          <w:rFonts w:ascii="楷体_GB2312" w:hAnsi="楷体" w:eastAsia="楷体_GB2312"/>
          <w:b/>
          <w:bCs/>
          <w:sz w:val="24"/>
          <w:highlight w:val="none"/>
        </w:rPr>
        <w:t>双方协商不成的，应向</w:t>
      </w:r>
      <w:r>
        <w:rPr>
          <w:rFonts w:hint="eastAsia" w:ascii="楷体_GB2312" w:hAnsi="楷体" w:eastAsia="楷体_GB2312"/>
          <w:b/>
          <w:bCs/>
          <w:sz w:val="24"/>
          <w:highlight w:val="none"/>
          <w:lang w:eastAsia="zh-CN"/>
        </w:rPr>
        <w:t>产品管理人</w:t>
      </w:r>
      <w:r>
        <w:rPr>
          <w:rFonts w:ascii="楷体_GB2312" w:hAnsi="楷体" w:eastAsia="楷体_GB2312"/>
          <w:b/>
          <w:bCs/>
          <w:sz w:val="24"/>
          <w:highlight w:val="none"/>
        </w:rPr>
        <w:t>所在地有管辖权的人民法院提起诉讼，</w:t>
      </w:r>
      <w:r>
        <w:rPr>
          <w:rFonts w:ascii="楷体_GB2312" w:hAnsi="楷体" w:eastAsia="楷体_GB2312"/>
          <w:sz w:val="24"/>
          <w:highlight w:val="none"/>
        </w:rPr>
        <w:t>双方在本</w:t>
      </w:r>
      <w:r>
        <w:rPr>
          <w:rFonts w:hint="eastAsia" w:ascii="楷体_GB2312" w:hAnsi="楷体" w:eastAsia="楷体_GB2312"/>
          <w:sz w:val="24"/>
          <w:highlight w:val="none"/>
        </w:rPr>
        <w:t>理财产品销售文件</w:t>
      </w:r>
      <w:r>
        <w:rPr>
          <w:rFonts w:ascii="楷体_GB2312" w:hAnsi="楷体" w:eastAsia="楷体_GB2312"/>
          <w:sz w:val="24"/>
          <w:highlight w:val="none"/>
        </w:rPr>
        <w:t xml:space="preserve">或补充协议中另有约定的除外。诉讼期间，未涉及争议的条款仍需履行。 </w:t>
      </w:r>
    </w:p>
    <w:p w14:paraId="48C213E2">
      <w:pPr>
        <w:ind w:firstLine="480" w:firstLineChars="200"/>
        <w:rPr>
          <w:rFonts w:ascii="楷体_GB2312" w:hAnsi="楷体" w:eastAsia="楷体_GB2312"/>
          <w:sz w:val="24"/>
          <w:highlight w:val="none"/>
        </w:rPr>
      </w:pPr>
      <w:r>
        <w:rPr>
          <w:rFonts w:hint="eastAsia" w:ascii="楷体_GB2312" w:hAnsi="楷体" w:eastAsia="楷体_GB2312"/>
          <w:sz w:val="24"/>
          <w:highlight w:val="none"/>
          <w:lang w:val="en-US" w:eastAsia="zh-CN"/>
        </w:rPr>
        <w:t>五</w:t>
      </w:r>
      <w:r>
        <w:rPr>
          <w:rFonts w:ascii="楷体_GB2312" w:hAnsi="楷体" w:eastAsia="楷体_GB2312"/>
          <w:sz w:val="24"/>
          <w:highlight w:val="none"/>
        </w:rPr>
        <w:t>、其他</w:t>
      </w:r>
    </w:p>
    <w:p w14:paraId="56B369E5">
      <w:pPr>
        <w:ind w:firstLine="480" w:firstLineChars="200"/>
        <w:rPr>
          <w:rFonts w:ascii="楷体_GB2312" w:hAnsi="楷体" w:eastAsia="楷体_GB2312"/>
          <w:sz w:val="24"/>
          <w:highlight w:val="none"/>
        </w:rPr>
      </w:pP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一</w:t>
      </w:r>
      <w:r>
        <w:rPr>
          <w:rFonts w:hint="eastAsia" w:ascii="楷体_GB2312" w:hAnsi="楷体" w:eastAsia="楷体_GB2312"/>
          <w:sz w:val="24"/>
          <w:highlight w:val="none"/>
          <w:lang w:eastAsia="zh-CN"/>
        </w:rPr>
        <w:t>）</w:t>
      </w:r>
      <w:r>
        <w:rPr>
          <w:rFonts w:ascii="楷体_GB2312" w:hAnsi="楷体" w:eastAsia="楷体_GB2312"/>
          <w:sz w:val="24"/>
          <w:highlight w:val="none"/>
        </w:rPr>
        <w:t>投资者确认其已了解</w:t>
      </w:r>
      <w:r>
        <w:rPr>
          <w:rFonts w:hint="eastAsia" w:ascii="楷体_GB2312" w:hAnsi="楷体" w:eastAsia="楷体_GB2312"/>
          <w:sz w:val="24"/>
          <w:highlight w:val="none"/>
          <w:lang w:eastAsia="zh-CN"/>
        </w:rPr>
        <w:t>本理财产品</w:t>
      </w:r>
      <w:r>
        <w:rPr>
          <w:rFonts w:ascii="楷体_GB2312" w:hAnsi="楷体" w:eastAsia="楷体_GB2312"/>
          <w:sz w:val="24"/>
          <w:highlight w:val="none"/>
        </w:rPr>
        <w:t>所对应的</w:t>
      </w:r>
      <w:r>
        <w:rPr>
          <w:rFonts w:hint="eastAsia" w:ascii="楷体_GB2312" w:hAnsi="楷体" w:eastAsia="楷体_GB2312"/>
          <w:sz w:val="24"/>
          <w:highlight w:val="none"/>
        </w:rPr>
        <w:t>理财产品销售文件</w:t>
      </w:r>
      <w:r>
        <w:rPr>
          <w:rFonts w:ascii="楷体_GB2312" w:hAnsi="楷体" w:eastAsia="楷体_GB2312"/>
          <w:sz w:val="24"/>
          <w:highlight w:val="none"/>
        </w:rPr>
        <w:t>的构成与全部内容</w:t>
      </w:r>
      <w:r>
        <w:rPr>
          <w:rFonts w:hint="eastAsia" w:ascii="楷体_GB2312" w:hAnsi="楷体" w:eastAsia="楷体_GB2312"/>
          <w:sz w:val="24"/>
          <w:highlight w:val="none"/>
          <w:lang w:eastAsia="zh-CN"/>
        </w:rPr>
        <w:t>。</w:t>
      </w:r>
      <w:r>
        <w:rPr>
          <w:rFonts w:ascii="楷体_GB2312" w:hAnsi="楷体" w:eastAsia="楷体_GB2312"/>
          <w:sz w:val="24"/>
          <w:highlight w:val="none"/>
        </w:rPr>
        <w:t>投资者签署本协议即视为投资者已经阅读并认可</w:t>
      </w:r>
      <w:r>
        <w:rPr>
          <w:rFonts w:hint="eastAsia" w:ascii="楷体_GB2312" w:hAnsi="楷体" w:eastAsia="楷体_GB2312"/>
          <w:sz w:val="24"/>
          <w:highlight w:val="none"/>
          <w:lang w:val="en-US" w:eastAsia="zh-CN"/>
        </w:rPr>
        <w:t>本</w:t>
      </w:r>
      <w:r>
        <w:rPr>
          <w:rFonts w:ascii="楷体_GB2312" w:hAnsi="楷体" w:eastAsia="楷体_GB2312"/>
          <w:sz w:val="24"/>
          <w:highlight w:val="none"/>
        </w:rPr>
        <w:t>理财产品</w:t>
      </w:r>
      <w:r>
        <w:rPr>
          <w:rFonts w:hint="eastAsia" w:ascii="楷体_GB2312" w:hAnsi="楷体" w:eastAsia="楷体_GB2312"/>
          <w:sz w:val="24"/>
          <w:highlight w:val="none"/>
          <w:lang w:val="en-US" w:eastAsia="zh-CN"/>
        </w:rPr>
        <w:t>销售文件，</w:t>
      </w:r>
      <w:r>
        <w:rPr>
          <w:rFonts w:ascii="楷体_GB2312" w:hAnsi="楷体" w:eastAsia="楷体_GB2312"/>
          <w:sz w:val="24"/>
          <w:highlight w:val="none"/>
        </w:rPr>
        <w:t>并已就投资于</w:t>
      </w:r>
      <w:r>
        <w:rPr>
          <w:rFonts w:hint="eastAsia" w:ascii="楷体_GB2312" w:hAnsi="楷体" w:eastAsia="楷体_GB2312"/>
          <w:sz w:val="24"/>
          <w:highlight w:val="none"/>
          <w:lang w:eastAsia="zh-CN"/>
        </w:rPr>
        <w:t>本理财产品</w:t>
      </w:r>
      <w:r>
        <w:rPr>
          <w:rFonts w:ascii="楷体_GB2312" w:hAnsi="楷体" w:eastAsia="楷体_GB2312"/>
          <w:sz w:val="24"/>
          <w:highlight w:val="none"/>
        </w:rPr>
        <w:t xml:space="preserve">做出独立的判断。 </w:t>
      </w:r>
    </w:p>
    <w:p w14:paraId="05B7A045">
      <w:pPr>
        <w:ind w:firstLine="480" w:firstLineChars="200"/>
        <w:rPr>
          <w:rFonts w:ascii="楷体_GB2312" w:hAnsi="楷体" w:eastAsia="楷体_GB2312"/>
          <w:sz w:val="24"/>
          <w:highlight w:val="none"/>
          <w:lang w:eastAsia="zh-Hans"/>
        </w:rPr>
      </w:pPr>
      <w:r>
        <w:rPr>
          <w:rFonts w:hint="eastAsia" w:ascii="楷体_GB2312" w:hAnsi="楷体" w:eastAsia="楷体_GB2312"/>
          <w:sz w:val="24"/>
          <w:highlight w:val="none"/>
          <w:lang w:eastAsia="zh-Hans"/>
        </w:rPr>
        <w:t>（</w:t>
      </w:r>
      <w:r>
        <w:rPr>
          <w:rFonts w:hint="eastAsia" w:ascii="楷体_GB2312" w:hAnsi="楷体" w:eastAsia="楷体_GB2312"/>
          <w:sz w:val="24"/>
          <w:highlight w:val="none"/>
          <w:lang w:val="en-US" w:eastAsia="zh-CN"/>
        </w:rPr>
        <w:t>二</w:t>
      </w:r>
      <w:r>
        <w:rPr>
          <w:rFonts w:hint="eastAsia" w:ascii="楷体_GB2312" w:hAnsi="楷体" w:eastAsia="楷体_GB2312"/>
          <w:sz w:val="24"/>
          <w:highlight w:val="none"/>
          <w:lang w:eastAsia="zh-Hans"/>
        </w:rPr>
        <w:t>）本协议条款与《</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lang w:eastAsia="zh-Hans"/>
        </w:rPr>
        <w:t>产品说明书》条款不一致的，以《</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lang w:eastAsia="zh-Hans"/>
        </w:rPr>
        <w:t>产品说明书》的约定为准。</w:t>
      </w:r>
    </w:p>
    <w:p w14:paraId="4BDFCFD5">
      <w:pPr>
        <w:numPr>
          <w:ilvl w:val="0"/>
          <w:numId w:val="0"/>
        </w:numPr>
        <w:ind w:firstLine="480" w:firstLineChars="200"/>
        <w:rPr>
          <w:rFonts w:hint="eastAsia" w:ascii="楷体_GB2312" w:hAnsi="楷体" w:eastAsia="楷体_GB2312"/>
          <w:sz w:val="24"/>
          <w:highlight w:val="none"/>
          <w:lang w:eastAsia="zh-Hans"/>
        </w:rPr>
      </w:pPr>
      <w:r>
        <w:rPr>
          <w:rFonts w:hint="eastAsia" w:ascii="楷体_GB2312" w:hAnsi="楷体" w:eastAsia="楷体_GB2312"/>
          <w:sz w:val="24"/>
          <w:highlight w:val="none"/>
          <w:lang w:eastAsia="zh-Hans"/>
        </w:rPr>
        <w:t>（</w:t>
      </w:r>
      <w:r>
        <w:rPr>
          <w:rFonts w:hint="eastAsia" w:ascii="楷体_GB2312" w:hAnsi="楷体" w:eastAsia="楷体_GB2312"/>
          <w:sz w:val="24"/>
          <w:highlight w:val="none"/>
          <w:lang w:val="en-US" w:eastAsia="zh-CN"/>
        </w:rPr>
        <w:t>三</w:t>
      </w:r>
      <w:r>
        <w:rPr>
          <w:rFonts w:hint="eastAsia" w:ascii="楷体_GB2312" w:hAnsi="楷体" w:eastAsia="楷体_GB2312"/>
          <w:sz w:val="24"/>
          <w:highlight w:val="none"/>
          <w:lang w:eastAsia="zh-Hans"/>
        </w:rPr>
        <w:t>）如果由于任何原因使本</w:t>
      </w:r>
      <w:r>
        <w:rPr>
          <w:rFonts w:ascii="楷体_GB2312" w:hAnsi="楷体" w:eastAsia="楷体_GB2312"/>
          <w:sz w:val="24"/>
          <w:highlight w:val="none"/>
        </w:rPr>
        <w:t>理财产品</w:t>
      </w:r>
      <w:r>
        <w:rPr>
          <w:rFonts w:hint="eastAsia" w:ascii="楷体_GB2312" w:hAnsi="楷体" w:eastAsia="楷体_GB2312"/>
          <w:sz w:val="24"/>
          <w:highlight w:val="none"/>
        </w:rPr>
        <w:t>销售文件</w:t>
      </w:r>
      <w:r>
        <w:rPr>
          <w:rFonts w:hint="eastAsia" w:ascii="楷体_GB2312" w:hAnsi="楷体" w:eastAsia="楷体_GB2312"/>
          <w:sz w:val="24"/>
          <w:highlight w:val="none"/>
          <w:lang w:eastAsia="zh-Hans"/>
        </w:rPr>
        <w:t>下的任何条款或者内容成为无效或者依法被撤销，本</w:t>
      </w:r>
      <w:r>
        <w:rPr>
          <w:rFonts w:ascii="楷体_GB2312" w:hAnsi="楷体" w:eastAsia="楷体_GB2312"/>
          <w:sz w:val="24"/>
          <w:highlight w:val="none"/>
        </w:rPr>
        <w:t>理财产品</w:t>
      </w:r>
      <w:r>
        <w:rPr>
          <w:rFonts w:hint="eastAsia" w:ascii="楷体_GB2312" w:hAnsi="楷体" w:eastAsia="楷体_GB2312"/>
          <w:sz w:val="24"/>
          <w:highlight w:val="none"/>
        </w:rPr>
        <w:t>销售文件</w:t>
      </w:r>
      <w:r>
        <w:rPr>
          <w:rFonts w:hint="eastAsia" w:ascii="楷体_GB2312" w:hAnsi="楷体" w:eastAsia="楷体_GB2312"/>
          <w:sz w:val="24"/>
          <w:highlight w:val="none"/>
          <w:lang w:eastAsia="zh-Hans"/>
        </w:rPr>
        <w:t>其他条款或内容的合法性，有效性和可执行性不受影响。</w:t>
      </w:r>
    </w:p>
    <w:p w14:paraId="6D86057D">
      <w:pPr>
        <w:pStyle w:val="2"/>
        <w:ind w:left="0" w:leftChars="0" w:firstLine="480" w:firstLineChars="200"/>
        <w:rPr>
          <w:highlight w:val="none"/>
        </w:rPr>
      </w:pP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四</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投资者确认其与产品管理人之间的权利义务以生效的</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理财产品销售文件为准</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在本理财产品销售文件生效前</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产品管理人</w:t>
      </w:r>
      <w:r>
        <w:rPr>
          <w:rFonts w:hint="eastAsia" w:ascii="楷体_GB2312" w:hAnsi="楷体" w:eastAsia="楷体_GB2312"/>
          <w:sz w:val="24"/>
          <w:highlight w:val="none"/>
          <w:lang w:val="en-US" w:eastAsia="zh-CN"/>
        </w:rPr>
        <w:t>或</w:t>
      </w:r>
      <w:r>
        <w:rPr>
          <w:rFonts w:hint="eastAsia" w:ascii="楷体_GB2312" w:hAnsi="楷体" w:eastAsia="楷体_GB2312"/>
          <w:sz w:val="24"/>
          <w:highlight w:val="none"/>
        </w:rPr>
        <w:t>代销机构以书面、口头、电子文档等形式向投资者提供或展示的</w:t>
      </w:r>
      <w:r>
        <w:rPr>
          <w:rFonts w:hint="eastAsia" w:ascii="楷体_GB2312" w:hAnsi="楷体" w:eastAsia="楷体_GB2312"/>
          <w:sz w:val="24"/>
          <w:highlight w:val="none"/>
          <w:lang w:val="en-US" w:eastAsia="zh-CN"/>
        </w:rPr>
        <w:t>任何</w:t>
      </w:r>
      <w:r>
        <w:rPr>
          <w:rFonts w:hint="eastAsia" w:ascii="楷体_GB2312" w:hAnsi="楷体" w:eastAsia="楷体_GB2312"/>
          <w:sz w:val="24"/>
          <w:highlight w:val="none"/>
        </w:rPr>
        <w:t>关于本</w:t>
      </w:r>
      <w:r>
        <w:rPr>
          <w:rFonts w:hint="eastAsia" w:ascii="楷体_GB2312" w:hAnsi="楷体" w:eastAsia="楷体_GB2312"/>
          <w:sz w:val="24"/>
          <w:highlight w:val="none"/>
          <w:lang w:val="en-US" w:eastAsia="zh-CN"/>
        </w:rPr>
        <w:t>理财</w:t>
      </w:r>
      <w:r>
        <w:rPr>
          <w:rFonts w:hint="eastAsia" w:ascii="楷体_GB2312" w:hAnsi="楷体" w:eastAsia="楷体_GB2312"/>
          <w:sz w:val="24"/>
          <w:highlight w:val="none"/>
        </w:rPr>
        <w:t>产品的文件、宣介材料、说明等</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均不得对抗生效</w:t>
      </w:r>
      <w:r>
        <w:rPr>
          <w:rFonts w:hint="eastAsia" w:ascii="楷体_GB2312" w:hAnsi="楷体" w:eastAsia="楷体_GB2312"/>
          <w:sz w:val="24"/>
          <w:highlight w:val="none"/>
          <w:lang w:val="en-US" w:eastAsia="zh-CN"/>
        </w:rPr>
        <w:t>的本</w:t>
      </w:r>
      <w:r>
        <w:rPr>
          <w:rFonts w:hint="eastAsia" w:ascii="楷体_GB2312" w:hAnsi="楷体" w:eastAsia="楷体_GB2312"/>
          <w:sz w:val="24"/>
          <w:highlight w:val="none"/>
        </w:rPr>
        <w:t>理财产品销售文件项下各自的权利和义务。</w:t>
      </w:r>
    </w:p>
    <w:p w14:paraId="7CACFB11">
      <w:pPr>
        <w:ind w:firstLine="482" w:firstLineChars="200"/>
        <w:rPr>
          <w:rFonts w:ascii="楷体_GB2312" w:hAnsi="楷体" w:eastAsia="楷体_GB2312"/>
          <w:b/>
          <w:bCs/>
          <w:sz w:val="24"/>
          <w:highlight w:val="none"/>
        </w:rPr>
      </w:pPr>
      <w:r>
        <w:rPr>
          <w:rFonts w:hint="eastAsia" w:ascii="楷体_GB2312" w:hAnsi="楷体" w:eastAsia="楷体_GB2312"/>
          <w:b/>
          <w:bCs/>
          <w:sz w:val="24"/>
          <w:highlight w:val="none"/>
        </w:rPr>
        <w:t>★</w:t>
      </w:r>
      <w:r>
        <w:rPr>
          <w:rFonts w:hint="eastAsia" w:ascii="楷体_GB2312" w:hAnsi="楷体" w:eastAsia="楷体_GB2312"/>
          <w:b/>
          <w:bCs/>
          <w:sz w:val="24"/>
          <w:highlight w:val="none"/>
          <w:lang w:val="en-US" w:eastAsia="zh-CN"/>
        </w:rPr>
        <w:t>六</w:t>
      </w:r>
      <w:r>
        <w:rPr>
          <w:rFonts w:ascii="楷体_GB2312" w:hAnsi="楷体" w:eastAsia="楷体_GB2312"/>
          <w:b/>
          <w:bCs/>
          <w:sz w:val="24"/>
          <w:highlight w:val="none"/>
        </w:rPr>
        <w:t>、生效条款</w:t>
      </w:r>
    </w:p>
    <w:p w14:paraId="721B16CC">
      <w:pPr>
        <w:ind w:firstLine="480" w:firstLineChars="200"/>
        <w:rPr>
          <w:rFonts w:ascii="楷体_GB2312" w:hAnsi="楷体" w:eastAsia="楷体_GB2312"/>
          <w:sz w:val="24"/>
          <w:highlight w:val="none"/>
        </w:rPr>
      </w:pPr>
      <w:r>
        <w:rPr>
          <w:rFonts w:ascii="楷体_GB2312" w:hAnsi="楷体" w:eastAsia="楷体_GB2312"/>
          <w:sz w:val="24"/>
          <w:highlight w:val="none"/>
        </w:rPr>
        <w:t>投资者如通过适用的</w:t>
      </w:r>
      <w:r>
        <w:rPr>
          <w:rFonts w:hint="eastAsia" w:ascii="楷体_GB2312" w:hAnsi="楷体" w:eastAsia="楷体_GB2312"/>
          <w:sz w:val="24"/>
          <w:highlight w:val="none"/>
        </w:rPr>
        <w:t>代理销售机构</w:t>
      </w:r>
      <w:r>
        <w:rPr>
          <w:rFonts w:ascii="楷体_GB2312" w:hAnsi="楷体" w:eastAsia="楷体_GB2312"/>
          <w:sz w:val="24"/>
          <w:highlight w:val="none"/>
        </w:rPr>
        <w:t>电子渠道签署本</w:t>
      </w:r>
      <w:r>
        <w:rPr>
          <w:rFonts w:hint="eastAsia" w:ascii="楷体_GB2312" w:hAnsi="楷体" w:eastAsia="楷体_GB2312"/>
          <w:sz w:val="24"/>
          <w:highlight w:val="none"/>
        </w:rPr>
        <w:t>理财产品销售文件</w:t>
      </w:r>
      <w:r>
        <w:rPr>
          <w:rFonts w:ascii="楷体_GB2312" w:hAnsi="楷体" w:eastAsia="楷体_GB2312"/>
          <w:sz w:val="24"/>
          <w:highlight w:val="none"/>
        </w:rPr>
        <w:t>、购买</w:t>
      </w:r>
      <w:r>
        <w:rPr>
          <w:rFonts w:hint="eastAsia" w:ascii="楷体_GB2312" w:hAnsi="楷体" w:eastAsia="楷体_GB2312"/>
          <w:sz w:val="24"/>
          <w:highlight w:val="none"/>
          <w:lang w:eastAsia="zh-CN"/>
        </w:rPr>
        <w:t>本理财产品</w:t>
      </w:r>
      <w:r>
        <w:rPr>
          <w:rFonts w:ascii="楷体_GB2312" w:hAnsi="楷体" w:eastAsia="楷体_GB2312"/>
          <w:sz w:val="24"/>
          <w:highlight w:val="none"/>
        </w:rPr>
        <w:t>的，本</w:t>
      </w:r>
      <w:r>
        <w:rPr>
          <w:rFonts w:hint="eastAsia" w:ascii="楷体_GB2312" w:hAnsi="楷体" w:eastAsia="楷体_GB2312"/>
          <w:sz w:val="24"/>
          <w:highlight w:val="none"/>
        </w:rPr>
        <w:t>理财产品销售文件</w:t>
      </w:r>
      <w:r>
        <w:rPr>
          <w:rFonts w:ascii="楷体_GB2312" w:hAnsi="楷体" w:eastAsia="楷体_GB2312"/>
          <w:sz w:val="24"/>
          <w:highlight w:val="none"/>
        </w:rPr>
        <w:t>自投资者勾选“</w:t>
      </w:r>
      <w:r>
        <w:rPr>
          <w:rFonts w:ascii="楷体_GB2312" w:hAnsi="楷体" w:eastAsia="楷体_GB2312"/>
          <w:b/>
          <w:sz w:val="24"/>
          <w:highlight w:val="none"/>
        </w:rPr>
        <w:t>我已经阅读并同意《风险揭示书》、《</w:t>
      </w:r>
      <w:r>
        <w:rPr>
          <w:rFonts w:hint="eastAsia" w:ascii="楷体_GB2312" w:hAnsi="楷体" w:eastAsia="楷体_GB2312"/>
          <w:b/>
          <w:sz w:val="24"/>
          <w:highlight w:val="none"/>
          <w:lang w:val="en-US" w:eastAsia="zh-CN"/>
        </w:rPr>
        <w:t>理财产品</w:t>
      </w:r>
      <w:r>
        <w:rPr>
          <w:rFonts w:ascii="楷体_GB2312" w:hAnsi="楷体" w:eastAsia="楷体_GB2312"/>
          <w:b/>
          <w:bCs w:val="0"/>
          <w:sz w:val="24"/>
          <w:highlight w:val="none"/>
        </w:rPr>
        <w:t>投资协议书》、《</w:t>
      </w:r>
      <w:r>
        <w:rPr>
          <w:rFonts w:hint="eastAsia" w:ascii="楷体_GB2312" w:hAnsi="楷体" w:eastAsia="楷体_GB2312"/>
          <w:b/>
          <w:bCs w:val="0"/>
          <w:sz w:val="24"/>
          <w:highlight w:val="none"/>
          <w:lang w:val="en-US" w:eastAsia="zh-CN"/>
        </w:rPr>
        <w:t>理财</w:t>
      </w:r>
      <w:r>
        <w:rPr>
          <w:rFonts w:ascii="楷体_GB2312" w:hAnsi="楷体" w:eastAsia="楷体_GB2312"/>
          <w:b/>
          <w:bCs w:val="0"/>
          <w:sz w:val="24"/>
          <w:highlight w:val="none"/>
        </w:rPr>
        <w:t>产品说明书》、《投资者权益须知》和《</w:t>
      </w:r>
      <w:r>
        <w:rPr>
          <w:rFonts w:hint="eastAsia" w:ascii="楷体_GB2312" w:hAnsi="楷体" w:eastAsia="楷体_GB2312"/>
          <w:b/>
          <w:bCs w:val="0"/>
          <w:sz w:val="24"/>
          <w:highlight w:val="none"/>
          <w:lang w:val="en-US" w:eastAsia="zh-CN"/>
        </w:rPr>
        <w:t>代理销售协议书</w:t>
      </w:r>
      <w:r>
        <w:rPr>
          <w:rFonts w:ascii="楷体_GB2312" w:hAnsi="楷体" w:eastAsia="楷体_GB2312"/>
          <w:b/>
          <w:bCs w:val="0"/>
          <w:sz w:val="24"/>
          <w:highlight w:val="none"/>
        </w:rPr>
        <w:t>》</w:t>
      </w:r>
      <w:r>
        <w:rPr>
          <w:rFonts w:hint="eastAsia" w:ascii="楷体_GB2312" w:hAnsi="楷体" w:eastAsia="楷体_GB2312" w:cs="Times New Roman"/>
          <w:b/>
          <w:bCs w:val="0"/>
          <w:sz w:val="24"/>
          <w:highlight w:val="none"/>
          <w:lang w:eastAsia="zh-CN"/>
        </w:rPr>
        <w:t>（</w:t>
      </w:r>
      <w:r>
        <w:rPr>
          <w:rFonts w:hint="eastAsia" w:ascii="楷体_GB2312" w:hAnsi="楷体" w:eastAsia="楷体_GB2312" w:cs="Times New Roman"/>
          <w:b/>
          <w:bCs w:val="0"/>
          <w:sz w:val="24"/>
          <w:highlight w:val="none"/>
          <w:lang w:val="en-US" w:eastAsia="zh-CN"/>
        </w:rPr>
        <w:t>具体名称以代销机构为准</w:t>
      </w:r>
      <w:r>
        <w:rPr>
          <w:rFonts w:hint="eastAsia" w:ascii="楷体_GB2312" w:hAnsi="楷体" w:eastAsia="楷体_GB2312" w:cs="Times New Roman"/>
          <w:b/>
          <w:bCs w:val="0"/>
          <w:sz w:val="24"/>
          <w:highlight w:val="none"/>
          <w:lang w:eastAsia="zh-CN"/>
        </w:rPr>
        <w:t>）</w:t>
      </w:r>
      <w:r>
        <w:rPr>
          <w:rFonts w:ascii="楷体_GB2312" w:hAnsi="楷体" w:eastAsia="楷体_GB2312"/>
          <w:b/>
          <w:bCs w:val="0"/>
          <w:sz w:val="24"/>
          <w:highlight w:val="none"/>
        </w:rPr>
        <w:t>，并</w:t>
      </w:r>
      <w:r>
        <w:rPr>
          <w:rFonts w:ascii="楷体_GB2312" w:hAnsi="楷体" w:eastAsia="楷体_GB2312"/>
          <w:b/>
          <w:sz w:val="24"/>
          <w:highlight w:val="none"/>
        </w:rPr>
        <w:t>愿意承担投资风险。同意</w:t>
      </w:r>
      <w:r>
        <w:rPr>
          <w:rFonts w:hint="eastAsia" w:ascii="楷体_GB2312" w:hAnsi="楷体" w:eastAsia="楷体_GB2312"/>
          <w:b/>
          <w:bCs/>
          <w:sz w:val="24"/>
          <w:highlight w:val="none"/>
        </w:rPr>
        <w:t>代理销售机构</w:t>
      </w:r>
      <w:r>
        <w:rPr>
          <w:rFonts w:ascii="楷体_GB2312" w:hAnsi="楷体" w:eastAsia="楷体_GB2312"/>
          <w:b/>
          <w:sz w:val="24"/>
          <w:highlight w:val="none"/>
        </w:rPr>
        <w:t>按照监管要求，对本次理财</w:t>
      </w:r>
      <w:r>
        <w:rPr>
          <w:rFonts w:hint="eastAsia" w:ascii="楷体_GB2312" w:hAnsi="楷体" w:eastAsia="楷体_GB2312"/>
          <w:b/>
          <w:sz w:val="24"/>
          <w:highlight w:val="none"/>
          <w:lang w:val="en-US" w:eastAsia="zh-CN"/>
        </w:rPr>
        <w:t>产品</w:t>
      </w:r>
      <w:r>
        <w:rPr>
          <w:rFonts w:ascii="楷体_GB2312" w:hAnsi="楷体" w:eastAsia="楷体_GB2312"/>
          <w:b/>
          <w:sz w:val="24"/>
          <w:highlight w:val="none"/>
        </w:rPr>
        <w:t>销售过程进行记录。</w:t>
      </w:r>
      <w:r>
        <w:rPr>
          <w:rFonts w:ascii="楷体_GB2312" w:hAnsi="楷体" w:eastAsia="楷体_GB2312"/>
          <w:sz w:val="24"/>
          <w:highlight w:val="none"/>
        </w:rPr>
        <w:t>”</w:t>
      </w: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具体表述以</w:t>
      </w:r>
      <w:r>
        <w:rPr>
          <w:rFonts w:hint="eastAsia" w:ascii="楷体_GB2312" w:hAnsi="楷体" w:eastAsia="楷体_GB2312"/>
          <w:sz w:val="24"/>
          <w:highlight w:val="none"/>
        </w:rPr>
        <w:t>代理销售机构</w:t>
      </w:r>
      <w:r>
        <w:rPr>
          <w:rFonts w:ascii="楷体_GB2312" w:hAnsi="楷体" w:eastAsia="楷体_GB2312"/>
          <w:sz w:val="24"/>
          <w:highlight w:val="none"/>
        </w:rPr>
        <w:t>电子渠道</w:t>
      </w:r>
      <w:r>
        <w:rPr>
          <w:rFonts w:hint="eastAsia" w:ascii="楷体_GB2312" w:hAnsi="楷体" w:eastAsia="楷体_GB2312"/>
          <w:sz w:val="24"/>
          <w:highlight w:val="none"/>
          <w:lang w:val="en-US" w:eastAsia="zh-CN"/>
        </w:rPr>
        <w:t>页面展示为准</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，并成功缴纳</w:t>
      </w:r>
      <w:r>
        <w:rPr>
          <w:rFonts w:hint="eastAsia" w:ascii="楷体_GB2312" w:hAnsi="楷体" w:eastAsia="楷体_GB2312"/>
          <w:sz w:val="24"/>
          <w:highlight w:val="none"/>
          <w:lang w:val="en-US" w:eastAsia="zh-CN"/>
        </w:rPr>
        <w:t>全额</w:t>
      </w:r>
      <w:r>
        <w:rPr>
          <w:rFonts w:ascii="楷体_GB2312" w:hAnsi="楷体" w:eastAsia="楷体_GB2312"/>
          <w:sz w:val="24"/>
          <w:highlight w:val="none"/>
        </w:rPr>
        <w:t>认购或申购资金</w:t>
      </w:r>
      <w:r>
        <w:rPr>
          <w:rFonts w:hint="eastAsia" w:ascii="楷体_GB2312" w:hAnsi="楷体" w:eastAsia="楷体_GB2312"/>
          <w:sz w:val="24"/>
          <w:highlight w:val="none"/>
        </w:rPr>
        <w:t>并经北银理财系统确认份额后成立并生效。</w:t>
      </w:r>
    </w:p>
    <w:p w14:paraId="668B925C">
      <w:pPr>
        <w:ind w:firstLine="480" w:firstLineChars="200"/>
        <w:rPr>
          <w:rFonts w:ascii="楷体_GB2312" w:hAnsi="楷体" w:eastAsia="楷体_GB2312"/>
          <w:sz w:val="24"/>
          <w:highlight w:val="none"/>
        </w:rPr>
      </w:pPr>
      <w:r>
        <w:rPr>
          <w:rFonts w:hint="eastAsia" w:ascii="楷体_GB2312" w:hAnsi="楷体" w:eastAsia="楷体_GB2312"/>
          <w:sz w:val="24"/>
          <w:highlight w:val="none"/>
        </w:rPr>
        <w:t>投资者如通过适用的代理销售机构营业网点柜台购买</w:t>
      </w:r>
      <w:r>
        <w:rPr>
          <w:rFonts w:hint="eastAsia" w:ascii="楷体_GB2312" w:hAnsi="楷体" w:eastAsia="楷体_GB2312"/>
          <w:sz w:val="24"/>
          <w:highlight w:val="none"/>
          <w:lang w:val="en-US" w:eastAsia="zh-CN"/>
        </w:rPr>
        <w:t>本</w:t>
      </w:r>
      <w:r>
        <w:rPr>
          <w:rFonts w:hint="eastAsia" w:ascii="楷体_GB2312" w:hAnsi="楷体" w:eastAsia="楷体_GB2312"/>
          <w:sz w:val="24"/>
          <w:highlight w:val="none"/>
        </w:rPr>
        <w:t>理财产品</w:t>
      </w:r>
      <w:r>
        <w:rPr>
          <w:rFonts w:hint="eastAsia" w:ascii="楷体_GB2312" w:hAnsi="楷体" w:eastAsia="楷体_GB2312"/>
          <w:sz w:val="24"/>
          <w:highlight w:val="none"/>
          <w:lang w:val="en-US" w:eastAsia="zh-CN"/>
        </w:rPr>
        <w:t>的</w:t>
      </w:r>
      <w:r>
        <w:rPr>
          <w:rFonts w:hint="eastAsia" w:ascii="楷体_GB2312" w:hAnsi="楷体" w:eastAsia="楷体_GB2312"/>
          <w:sz w:val="24"/>
          <w:highlight w:val="none"/>
        </w:rPr>
        <w:t>，</w:t>
      </w:r>
      <w:r>
        <w:rPr>
          <w:rFonts w:ascii="楷体_GB2312" w:hAnsi="楷体" w:eastAsia="楷体_GB2312"/>
          <w:sz w:val="24"/>
          <w:highlight w:val="none"/>
        </w:rPr>
        <w:t>本理财产品</w:t>
      </w:r>
      <w:r>
        <w:rPr>
          <w:rFonts w:hint="eastAsia" w:ascii="楷体_GB2312" w:hAnsi="楷体" w:eastAsia="楷体_GB2312"/>
          <w:sz w:val="24"/>
          <w:highlight w:val="none"/>
          <w:lang w:val="en-US" w:eastAsia="zh-CN"/>
        </w:rPr>
        <w:t>销售文件</w:t>
      </w:r>
      <w:r>
        <w:rPr>
          <w:rFonts w:ascii="楷体_GB2312" w:hAnsi="楷体" w:eastAsia="楷体_GB2312"/>
          <w:sz w:val="24"/>
          <w:highlight w:val="none"/>
        </w:rPr>
        <w:t>自</w:t>
      </w:r>
      <w:r>
        <w:rPr>
          <w:rFonts w:hint="eastAsia" w:ascii="楷体_GB2312" w:hAnsi="楷体" w:eastAsia="楷体_GB2312"/>
          <w:sz w:val="24"/>
          <w:highlight w:val="none"/>
        </w:rPr>
        <w:t>投资者签字确认且完成购买申请，并成功缴纳</w:t>
      </w:r>
      <w:r>
        <w:rPr>
          <w:rFonts w:hint="eastAsia" w:ascii="楷体_GB2312" w:hAnsi="楷体" w:eastAsia="楷体_GB2312"/>
          <w:sz w:val="24"/>
          <w:highlight w:val="none"/>
          <w:lang w:val="en-US" w:eastAsia="zh-CN"/>
        </w:rPr>
        <w:t>全额</w:t>
      </w:r>
      <w:r>
        <w:rPr>
          <w:rFonts w:ascii="楷体_GB2312" w:hAnsi="楷体" w:eastAsia="楷体_GB2312"/>
          <w:sz w:val="24"/>
          <w:highlight w:val="none"/>
        </w:rPr>
        <w:t>认购或申购资金</w:t>
      </w:r>
      <w:r>
        <w:rPr>
          <w:rFonts w:hint="eastAsia" w:ascii="楷体_GB2312" w:hAnsi="楷体" w:eastAsia="楷体_GB2312"/>
          <w:sz w:val="24"/>
          <w:highlight w:val="none"/>
        </w:rPr>
        <w:t>并经北银理财系统确认份额后成立并生效。</w:t>
      </w:r>
    </w:p>
    <w:p w14:paraId="0FAF8252">
      <w:pPr>
        <w:pStyle w:val="45"/>
        <w:ind w:right="480" w:firstLine="5880" w:firstLineChars="2450"/>
        <w:rPr>
          <w:rFonts w:ascii="楷体_GB2312" w:hAnsi="楷体" w:eastAsia="楷体_GB2312" w:cs="Times New Roman"/>
          <w:color w:val="auto"/>
          <w:kern w:val="2"/>
          <w:highlight w:val="none"/>
        </w:rPr>
      </w:pPr>
    </w:p>
    <w:p w14:paraId="0D2AD9F8">
      <w:pPr>
        <w:pStyle w:val="45"/>
        <w:ind w:right="480" w:firstLine="5880" w:firstLineChars="2450"/>
        <w:rPr>
          <w:rFonts w:ascii="楷体_GB2312" w:hAnsi="楷体" w:eastAsia="楷体_GB2312" w:cs="Times New Roman"/>
          <w:color w:val="auto"/>
          <w:kern w:val="2"/>
          <w:highlight w:val="none"/>
        </w:rPr>
      </w:pPr>
    </w:p>
    <w:p w14:paraId="2F72FF9E">
      <w:pPr>
        <w:pStyle w:val="45"/>
        <w:ind w:right="1680"/>
        <w:jc w:val="right"/>
        <w:rPr>
          <w:rFonts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个人投资者（签名）：</w:t>
      </w:r>
    </w:p>
    <w:p w14:paraId="34AF352D">
      <w:pPr>
        <w:pStyle w:val="45"/>
        <w:ind w:right="1680"/>
        <w:jc w:val="right"/>
        <w:rPr>
          <w:rFonts w:hint="eastAsia"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日期：</w:t>
      </w:r>
    </w:p>
    <w:p w14:paraId="5B561B3B">
      <w:pPr>
        <w:pStyle w:val="45"/>
        <w:ind w:right="1680"/>
        <w:jc w:val="right"/>
        <w:rPr>
          <w:rFonts w:hint="eastAsia" w:ascii="楷体_GB2312" w:hAnsi="楷体" w:eastAsia="楷体_GB2312" w:cs="Times New Roman"/>
          <w:color w:val="auto"/>
          <w:kern w:val="2"/>
          <w:highlight w:val="none"/>
        </w:rPr>
      </w:pPr>
    </w:p>
    <w:p w14:paraId="25B60E58">
      <w:pPr>
        <w:pStyle w:val="45"/>
        <w:ind w:right="1680"/>
        <w:jc w:val="right"/>
        <w:rPr>
          <w:rFonts w:hint="eastAsia" w:ascii="楷体_GB2312" w:hAnsi="楷体" w:eastAsia="楷体_GB2312" w:cs="Times New Roman"/>
          <w:color w:val="auto"/>
          <w:kern w:val="2"/>
          <w:highlight w:val="none"/>
        </w:rPr>
      </w:pPr>
    </w:p>
    <w:p w14:paraId="639B7ABC">
      <w:pPr>
        <w:pStyle w:val="45"/>
        <w:ind w:right="1680"/>
        <w:jc w:val="right"/>
        <w:rPr>
          <w:rFonts w:hint="eastAsia" w:ascii="楷体_GB2312" w:hAnsi="楷体" w:eastAsia="楷体_GB2312" w:cs="Times New Roman"/>
          <w:color w:val="auto"/>
          <w:kern w:val="2"/>
          <w:highlight w:val="none"/>
        </w:rPr>
      </w:pPr>
    </w:p>
    <w:p w14:paraId="315C4919">
      <w:pPr>
        <w:pStyle w:val="45"/>
        <w:ind w:right="1680"/>
        <w:jc w:val="right"/>
        <w:rPr>
          <w:rFonts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机构投资者（盖章）：</w:t>
      </w:r>
    </w:p>
    <w:p w14:paraId="7F15C362">
      <w:pPr>
        <w:pStyle w:val="45"/>
        <w:ind w:right="1680"/>
        <w:jc w:val="center"/>
        <w:rPr>
          <w:rFonts w:hint="eastAsia" w:ascii="楷体_GB2312" w:hAnsi="楷体" w:eastAsia="楷体_GB2312" w:cs="Times New Roman"/>
          <w:color w:val="auto"/>
          <w:kern w:val="2"/>
          <w:szCs w:val="24"/>
          <w:highlight w:val="none"/>
        </w:rPr>
      </w:pPr>
      <w:r>
        <w:rPr>
          <w:rFonts w:hint="eastAsia" w:ascii="楷体_GB2312" w:hAnsi="楷体" w:eastAsia="楷体_GB2312" w:cs="Times New Roman"/>
          <w:color w:val="auto"/>
          <w:kern w:val="2"/>
          <w:szCs w:val="24"/>
          <w:highlight w:val="none"/>
        </w:rPr>
        <w:t>机构投资者法定代表人（或负责人）或授权代表（签名或盖章）：</w:t>
      </w:r>
    </w:p>
    <w:p w14:paraId="553535C7">
      <w:pPr>
        <w:pStyle w:val="45"/>
        <w:ind w:right="480" w:firstLine="1200" w:firstLineChars="500"/>
        <w:jc w:val="both"/>
        <w:rPr>
          <w:rFonts w:hint="eastAsia"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 xml:space="preserve">                                       日期：</w:t>
      </w:r>
    </w:p>
    <w:p w14:paraId="15C030DA">
      <w:pPr>
        <w:pStyle w:val="45"/>
        <w:ind w:right="480" w:firstLine="5880" w:firstLineChars="2450"/>
        <w:rPr>
          <w:rFonts w:ascii="楷体_GB2312" w:hAnsi="楷体" w:eastAsia="楷体_GB2312" w:cs="Times New Roman"/>
          <w:color w:val="auto"/>
          <w:kern w:val="2"/>
          <w:highlight w:val="none"/>
        </w:rPr>
      </w:pPr>
    </w:p>
    <w:p w14:paraId="336AF75F">
      <w:pPr>
        <w:tabs>
          <w:tab w:val="left" w:pos="915"/>
          <w:tab w:val="center" w:pos="5273"/>
        </w:tabs>
        <w:spacing w:before="50"/>
        <w:jc w:val="center"/>
        <w:rPr>
          <w:rFonts w:ascii="黑体" w:eastAsia="黑体"/>
          <w:b/>
          <w:bCs/>
          <w:color w:val="000000"/>
          <w:sz w:val="30"/>
          <w:szCs w:val="30"/>
          <w:highlight w:val="none"/>
        </w:rPr>
      </w:pPr>
      <w:r>
        <w:rPr>
          <w:rFonts w:hint="eastAsia" w:ascii="黑体" w:eastAsia="黑体"/>
          <w:b/>
          <w:bCs/>
          <w:color w:val="000000"/>
          <w:sz w:val="30"/>
          <w:szCs w:val="30"/>
          <w:highlight w:val="none"/>
        </w:rPr>
        <w:br w:type="page"/>
      </w:r>
      <w:r>
        <w:rPr>
          <w:rFonts w:hint="eastAsia" w:ascii="黑体" w:eastAsia="黑体"/>
          <w:b/>
          <w:bCs/>
          <w:color w:val="000000"/>
          <w:sz w:val="30"/>
          <w:szCs w:val="30"/>
          <w:highlight w:val="none"/>
          <w:lang w:eastAsia="zh-CN"/>
        </w:rPr>
        <w:t>北银理财京华远见春系列卓远固收封闭式290号</w:t>
      </w:r>
      <w:r>
        <w:rPr>
          <w:rFonts w:ascii="黑体" w:eastAsia="黑体"/>
          <w:b/>
          <w:bCs/>
          <w:color w:val="000000"/>
          <w:sz w:val="30"/>
          <w:szCs w:val="30"/>
          <w:highlight w:val="none"/>
        </w:rPr>
        <w:t>理财</w:t>
      </w:r>
      <w:r>
        <w:rPr>
          <w:rFonts w:hint="eastAsia" w:ascii="黑体" w:eastAsia="黑体"/>
          <w:b/>
          <w:bCs/>
          <w:color w:val="000000"/>
          <w:sz w:val="30"/>
          <w:szCs w:val="30"/>
          <w:highlight w:val="none"/>
        </w:rPr>
        <w:t>产品</w:t>
      </w:r>
    </w:p>
    <w:p w14:paraId="50F92CC0">
      <w:pPr>
        <w:tabs>
          <w:tab w:val="left" w:pos="915"/>
          <w:tab w:val="center" w:pos="5273"/>
        </w:tabs>
        <w:spacing w:before="50"/>
        <w:jc w:val="center"/>
        <w:rPr>
          <w:rFonts w:ascii="黑体" w:eastAsia="黑体"/>
          <w:b/>
          <w:bCs/>
          <w:color w:val="000000"/>
          <w:sz w:val="30"/>
          <w:szCs w:val="30"/>
          <w:highlight w:val="none"/>
        </w:rPr>
      </w:pPr>
      <w:r>
        <w:rPr>
          <w:rFonts w:hint="eastAsia" w:ascii="黑体" w:eastAsia="黑体"/>
          <w:b/>
          <w:bCs/>
          <w:color w:val="000000"/>
          <w:sz w:val="30"/>
          <w:szCs w:val="30"/>
          <w:highlight w:val="none"/>
          <w:lang w:val="en-US" w:eastAsia="zh-CN"/>
        </w:rPr>
        <w:t>理财</w:t>
      </w:r>
      <w:r>
        <w:rPr>
          <w:rFonts w:hint="eastAsia" w:ascii="黑体" w:eastAsia="黑体"/>
          <w:b/>
          <w:bCs/>
          <w:color w:val="000000"/>
          <w:sz w:val="30"/>
          <w:szCs w:val="30"/>
          <w:highlight w:val="none"/>
        </w:rPr>
        <w:t>产品</w:t>
      </w:r>
      <w:r>
        <w:rPr>
          <w:rFonts w:ascii="黑体" w:eastAsia="黑体"/>
          <w:b/>
          <w:bCs/>
          <w:color w:val="000000"/>
          <w:sz w:val="30"/>
          <w:szCs w:val="30"/>
          <w:highlight w:val="none"/>
        </w:rPr>
        <w:t>说明书</w:t>
      </w:r>
    </w:p>
    <w:p w14:paraId="199851B5">
      <w:pPr>
        <w:pStyle w:val="3"/>
        <w:ind w:leftChars="0"/>
        <w:rPr>
          <w:rFonts w:ascii="楷体_GB2312" w:eastAsia="楷体_GB2312"/>
          <w:b/>
          <w:color w:val="000000"/>
          <w:sz w:val="24"/>
          <w:szCs w:val="24"/>
          <w:highlight w:val="none"/>
        </w:rPr>
      </w:pPr>
      <w:r>
        <w:rPr>
          <w:rFonts w:hint="eastAsia" w:ascii="楷体_GB2312" w:eastAsia="楷体_GB2312"/>
          <w:b/>
          <w:color w:val="000000"/>
          <w:sz w:val="24"/>
          <w:szCs w:val="24"/>
          <w:highlight w:val="none"/>
        </w:rPr>
        <w:t>★一、重要须知</w:t>
      </w:r>
    </w:p>
    <w:p w14:paraId="7444EB29">
      <w:pPr>
        <w:ind w:firstLine="482" w:firstLineChars="200"/>
        <w:rPr>
          <w:rFonts w:hint="eastAsia" w:ascii="楷体_GB2312" w:hAnsi="楷体" w:eastAsia="楷体_GB2312" w:cs="Times New Roman"/>
          <w:b/>
          <w:bCs/>
          <w:color w:val="auto"/>
          <w:sz w:val="24"/>
          <w:highlight w:val="none"/>
          <w:lang w:eastAsia="zh-CN"/>
        </w:rPr>
      </w:pPr>
      <w:r>
        <w:rPr>
          <w:rFonts w:ascii="楷体_GB2312" w:hAnsi="楷体" w:eastAsia="楷体_GB2312" w:cs="Times New Roman"/>
          <w:b/>
          <w:bCs/>
          <w:color w:val="auto"/>
          <w:sz w:val="24"/>
          <w:highlight w:val="none"/>
        </w:rPr>
        <w:t>本</w:t>
      </w:r>
      <w:r>
        <w:rPr>
          <w:rFonts w:hint="eastAsia" w:ascii="楷体_GB2312" w:hAnsi="楷体" w:eastAsia="楷体_GB2312" w:cs="Times New Roman"/>
          <w:b/>
          <w:bCs/>
          <w:color w:val="auto"/>
          <w:sz w:val="24"/>
          <w:highlight w:val="none"/>
          <w:lang w:val="en-US" w:eastAsia="zh-CN"/>
        </w:rPr>
        <w:t>理财产品</w:t>
      </w:r>
      <w:r>
        <w:rPr>
          <w:rFonts w:hint="eastAsia" w:ascii="楷体_GB2312" w:hAnsi="楷体" w:eastAsia="楷体_GB2312" w:cs="Times New Roman"/>
          <w:b/>
          <w:bCs/>
          <w:color w:val="auto"/>
          <w:sz w:val="24"/>
          <w:highlight w:val="none"/>
        </w:rPr>
        <w:t>销售文件</w:t>
      </w:r>
      <w:r>
        <w:rPr>
          <w:rFonts w:hint="eastAsia" w:ascii="楷体_GB2312" w:hAnsi="楷体" w:eastAsia="楷体_GB2312" w:cs="Times New Roman"/>
          <w:b/>
          <w:bCs/>
          <w:color w:val="auto"/>
          <w:sz w:val="24"/>
          <w:highlight w:val="none"/>
          <w:lang w:val="en-US" w:eastAsia="zh-CN"/>
        </w:rPr>
        <w:t>包括《</w:t>
      </w:r>
      <w:r>
        <w:rPr>
          <w:rFonts w:hint="eastAsia" w:ascii="楷体_GB2312" w:hAnsi="楷体" w:eastAsia="楷体_GB2312" w:cs="Times New Roman"/>
          <w:b/>
          <w:bCs/>
          <w:color w:val="auto"/>
          <w:sz w:val="24"/>
          <w:highlight w:val="none"/>
        </w:rPr>
        <w:t>理财产品投资协议书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理财产品说明书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风险揭示书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w:t>
      </w:r>
      <w:r>
        <w:rPr>
          <w:rFonts w:hint="eastAsia" w:ascii="楷体_GB2312" w:hAnsi="楷体" w:eastAsia="楷体_GB2312" w:cs="Times New Roman"/>
          <w:b/>
          <w:bCs/>
          <w:color w:val="auto"/>
          <w:sz w:val="24"/>
          <w:highlight w:val="none"/>
        </w:rPr>
        <w:t>投资者权益须知</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和《代理销售</w:t>
      </w:r>
      <w:r>
        <w:rPr>
          <w:rFonts w:hint="eastAsia" w:ascii="楷体_GB2312" w:hAnsi="楷体" w:eastAsia="楷体_GB2312" w:cs="Times New Roman"/>
          <w:b/>
          <w:bCs/>
          <w:color w:val="auto"/>
          <w:sz w:val="24"/>
          <w:highlight w:val="none"/>
        </w:rPr>
        <w:t>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具体名称以代销机构为准</w:t>
      </w:r>
      <w:r>
        <w:rPr>
          <w:rFonts w:hint="eastAsia" w:ascii="楷体_GB2312" w:hAnsi="楷体" w:eastAsia="楷体_GB2312" w:cs="Times New Roman"/>
          <w:b/>
          <w:bCs/>
          <w:color w:val="auto"/>
          <w:sz w:val="24"/>
          <w:highlight w:val="none"/>
          <w:lang w:eastAsia="zh-CN"/>
        </w:rPr>
        <w:t>）。</w:t>
      </w:r>
      <w:r>
        <w:rPr>
          <w:rFonts w:ascii="楷体_GB2312" w:hAnsi="楷体" w:eastAsia="楷体_GB2312" w:cs="Times New Roman"/>
          <w:b/>
          <w:bCs/>
          <w:color w:val="auto"/>
          <w:sz w:val="24"/>
          <w:highlight w:val="none"/>
        </w:rPr>
        <w:t>在选择购买</w:t>
      </w:r>
      <w:r>
        <w:rPr>
          <w:rFonts w:hint="eastAsia" w:ascii="楷体_GB2312" w:hAnsi="楷体" w:eastAsia="楷体_GB2312" w:cs="Times New Roman"/>
          <w:b/>
          <w:bCs/>
          <w:color w:val="auto"/>
          <w:sz w:val="24"/>
          <w:highlight w:val="none"/>
          <w:lang w:val="en-US" w:eastAsia="zh-CN"/>
        </w:rPr>
        <w:t>本</w:t>
      </w:r>
      <w:r>
        <w:rPr>
          <w:rFonts w:ascii="楷体_GB2312" w:hAnsi="楷体" w:eastAsia="楷体_GB2312" w:cs="Times New Roman"/>
          <w:b/>
          <w:bCs/>
          <w:color w:val="auto"/>
          <w:sz w:val="24"/>
          <w:highlight w:val="none"/>
        </w:rPr>
        <w:t>理财产品前，请注意投资风险，仔细阅读本</w:t>
      </w:r>
      <w:r>
        <w:rPr>
          <w:rFonts w:hint="eastAsia" w:ascii="楷体_GB2312" w:hAnsi="楷体" w:eastAsia="楷体_GB2312" w:cs="Times New Roman"/>
          <w:b/>
          <w:bCs/>
          <w:color w:val="auto"/>
          <w:sz w:val="24"/>
          <w:highlight w:val="none"/>
          <w:lang w:val="en-US" w:eastAsia="zh-CN"/>
        </w:rPr>
        <w:t>理财产品</w:t>
      </w:r>
      <w:r>
        <w:rPr>
          <w:rFonts w:hint="eastAsia" w:ascii="楷体_GB2312" w:hAnsi="楷体" w:eastAsia="楷体_GB2312" w:cs="Times New Roman"/>
          <w:b/>
          <w:bCs/>
          <w:color w:val="auto"/>
          <w:sz w:val="24"/>
          <w:highlight w:val="none"/>
        </w:rPr>
        <w:t>销售文件</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特别是加黑及加“★”标识、以及有关责任或权利限制的条款</w:t>
      </w:r>
      <w:r>
        <w:rPr>
          <w:rFonts w:hint="eastAsia" w:ascii="楷体_GB2312" w:hAnsi="楷体" w:eastAsia="楷体_GB2312" w:cs="Times New Roman"/>
          <w:b/>
          <w:bCs/>
          <w:color w:val="auto"/>
          <w:sz w:val="24"/>
          <w:highlight w:val="none"/>
          <w:lang w:eastAsia="zh-CN"/>
        </w:rPr>
        <w:t>，</w:t>
      </w:r>
      <w:r>
        <w:rPr>
          <w:rFonts w:ascii="楷体_GB2312" w:hAnsi="宋体" w:eastAsia="楷体_GB2312"/>
          <w:b/>
          <w:bCs/>
          <w:color w:val="000000"/>
          <w:sz w:val="24"/>
          <w:highlight w:val="none"/>
        </w:rPr>
        <w:t>投资者若对本</w:t>
      </w:r>
      <w:r>
        <w:rPr>
          <w:rFonts w:hint="eastAsia" w:ascii="楷体_GB2312" w:hAnsi="宋体" w:eastAsia="楷体_GB2312"/>
          <w:b/>
          <w:bCs/>
          <w:color w:val="000000"/>
          <w:sz w:val="24"/>
          <w:highlight w:val="none"/>
        </w:rPr>
        <w:t>理财产品销售文件</w:t>
      </w:r>
      <w:r>
        <w:rPr>
          <w:rFonts w:ascii="楷体_GB2312" w:hAnsi="宋体" w:eastAsia="楷体_GB2312"/>
          <w:b/>
          <w:bCs/>
          <w:color w:val="000000"/>
          <w:sz w:val="24"/>
          <w:highlight w:val="none"/>
        </w:rPr>
        <w:t>的内容有任何疑问，请向</w:t>
      </w:r>
      <w:r>
        <w:rPr>
          <w:rFonts w:hint="eastAsia" w:ascii="楷体_GB2312" w:hAnsi="宋体" w:eastAsia="楷体_GB2312"/>
          <w:b/>
          <w:bCs/>
          <w:color w:val="000000"/>
          <w:sz w:val="24"/>
          <w:highlight w:val="none"/>
          <w:lang w:eastAsia="zh-CN"/>
        </w:rPr>
        <w:t>产品管理人</w:t>
      </w:r>
      <w:r>
        <w:rPr>
          <w:rFonts w:ascii="楷体_GB2312" w:hAnsi="宋体" w:eastAsia="楷体_GB2312"/>
          <w:b/>
          <w:bCs/>
          <w:color w:val="000000"/>
          <w:sz w:val="24"/>
          <w:highlight w:val="none"/>
        </w:rPr>
        <w:t>或向</w:t>
      </w:r>
      <w:r>
        <w:rPr>
          <w:rFonts w:hint="eastAsia" w:ascii="楷体_GB2312" w:hAnsi="楷体" w:eastAsia="楷体_GB2312"/>
          <w:b/>
          <w:bCs/>
          <w:sz w:val="24"/>
          <w:highlight w:val="none"/>
        </w:rPr>
        <w:t>代理销售机构</w:t>
      </w:r>
      <w:r>
        <w:rPr>
          <w:rFonts w:ascii="楷体_GB2312" w:hAnsi="宋体" w:eastAsia="楷体_GB2312"/>
          <w:b/>
          <w:bCs/>
          <w:color w:val="000000"/>
          <w:sz w:val="24"/>
          <w:highlight w:val="none"/>
        </w:rPr>
        <w:t>各营业网点咨询。</w:t>
      </w:r>
    </w:p>
    <w:p w14:paraId="1CB787A8">
      <w:pPr>
        <w:ind w:firstLine="480" w:firstLineChars="200"/>
        <w:rPr>
          <w:rFonts w:hint="eastAsia" w:eastAsia="楷体_GB2312"/>
          <w:highlight w:val="none"/>
          <w:lang w:eastAsia="zh-CN"/>
        </w:rPr>
      </w:pPr>
      <w:r>
        <w:rPr>
          <w:rFonts w:ascii="楷体_GB2312" w:hAnsi="宋体" w:eastAsia="楷体_GB2312"/>
          <w:color w:val="000000"/>
          <w:sz w:val="24"/>
          <w:highlight w:val="none"/>
        </w:rPr>
        <w:t>本理财产品只根据</w:t>
      </w:r>
      <w:r>
        <w:rPr>
          <w:rFonts w:ascii="楷体_GB2312" w:hAnsi="楷体" w:eastAsia="楷体_GB2312" w:cs="Times New Roman"/>
          <w:b w:val="0"/>
          <w:bCs w:val="0"/>
          <w:color w:val="auto"/>
          <w:sz w:val="24"/>
          <w:highlight w:val="none"/>
        </w:rPr>
        <w:t>本</w:t>
      </w:r>
      <w:r>
        <w:rPr>
          <w:rFonts w:hint="eastAsia" w:ascii="楷体_GB2312" w:hAnsi="楷体" w:eastAsia="楷体_GB2312" w:cs="Times New Roman"/>
          <w:b w:val="0"/>
          <w:bCs w:val="0"/>
          <w:color w:val="auto"/>
          <w:sz w:val="24"/>
          <w:highlight w:val="none"/>
          <w:lang w:val="en-US" w:eastAsia="zh-CN"/>
        </w:rPr>
        <w:t>理财产品</w:t>
      </w:r>
      <w:r>
        <w:rPr>
          <w:rFonts w:hint="eastAsia" w:ascii="楷体_GB2312" w:hAnsi="楷体" w:eastAsia="楷体_GB2312" w:cs="Times New Roman"/>
          <w:b w:val="0"/>
          <w:bCs w:val="0"/>
          <w:color w:val="auto"/>
          <w:sz w:val="24"/>
          <w:highlight w:val="none"/>
        </w:rPr>
        <w:t>销售文件</w:t>
      </w:r>
      <w:r>
        <w:rPr>
          <w:rFonts w:ascii="楷体_GB2312" w:hAnsi="宋体" w:eastAsia="楷体_GB2312"/>
          <w:color w:val="000000"/>
          <w:sz w:val="24"/>
          <w:highlight w:val="none"/>
        </w:rPr>
        <w:t>所载的资料操作。</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产品说明书》以及对</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产品说明书》的有效修改或补充</w:t>
      </w:r>
      <w:r>
        <w:rPr>
          <w:rFonts w:hint="eastAsia" w:ascii="楷体_GB2312" w:hAnsi="楷体" w:eastAsia="楷体_GB2312" w:cs="Times New Roman"/>
          <w:sz w:val="24"/>
          <w:highlight w:val="none"/>
          <w:lang w:val="en-US" w:eastAsia="zh-CN"/>
        </w:rPr>
        <w:t>构成</w:t>
      </w:r>
      <w:r>
        <w:rPr>
          <w:rFonts w:hint="default" w:ascii="楷体_GB2312" w:hAnsi="楷体" w:eastAsia="楷体_GB2312" w:cs="Times New Roman"/>
          <w:sz w:val="24"/>
          <w:highlight w:val="none"/>
          <w:lang w:val="en-US" w:eastAsia="zh-CN"/>
        </w:rPr>
        <w:t>本</w:t>
      </w:r>
      <w:r>
        <w:rPr>
          <w:rFonts w:hint="eastAsia" w:ascii="楷体_GB2312" w:hAnsi="楷体" w:eastAsia="楷体_GB2312" w:cs="Times New Roman"/>
          <w:sz w:val="24"/>
          <w:highlight w:val="none"/>
        </w:rPr>
        <w:t>理财产品</w:t>
      </w:r>
      <w:r>
        <w:rPr>
          <w:rFonts w:hint="default" w:ascii="楷体_GB2312" w:hAnsi="楷体" w:eastAsia="楷体_GB2312" w:cs="Times New Roman"/>
          <w:sz w:val="24"/>
          <w:highlight w:val="none"/>
          <w:lang w:val="en-US" w:eastAsia="zh-CN"/>
        </w:rPr>
        <w:t>销售文件</w:t>
      </w:r>
      <w:r>
        <w:rPr>
          <w:rFonts w:ascii="楷体_GB2312" w:hAnsi="楷体" w:eastAsia="楷体_GB2312" w:cs="Times New Roman"/>
          <w:sz w:val="24"/>
          <w:highlight w:val="none"/>
        </w:rPr>
        <w:t>不可分割之组成部分</w:t>
      </w:r>
      <w:r>
        <w:rPr>
          <w:rFonts w:hint="eastAsia" w:ascii="楷体_GB2312" w:hAnsi="楷体" w:eastAsia="楷体_GB2312" w:cs="Times New Roman"/>
          <w:sz w:val="24"/>
          <w:highlight w:val="none"/>
          <w:lang w:eastAsia="zh-CN"/>
        </w:rPr>
        <w:t>。</w:t>
      </w:r>
    </w:p>
    <w:p w14:paraId="24FBD85C">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本理财产品仅向依据中华人民共和国有关法律法规及监管规定可以购买本理财产品的投资者（以下简称投资者）发售。</w:t>
      </w:r>
      <w:r>
        <w:rPr>
          <w:rFonts w:hint="eastAsia" w:ascii="楷体_GB2312" w:hAnsi="宋体" w:eastAsia="楷体_GB2312"/>
          <w:color w:val="000000"/>
          <w:sz w:val="24"/>
          <w:highlight w:val="none"/>
          <w:lang w:eastAsia="zh-CN"/>
        </w:rPr>
        <w:t>本理财产品</w:t>
      </w:r>
      <w:r>
        <w:rPr>
          <w:rFonts w:ascii="楷体_GB2312" w:hAnsi="宋体" w:eastAsia="楷体_GB2312"/>
          <w:color w:val="000000"/>
          <w:sz w:val="24"/>
          <w:highlight w:val="none"/>
        </w:rPr>
        <w:t>为</w:t>
      </w:r>
      <w:r>
        <w:rPr>
          <w:rFonts w:hint="eastAsia" w:ascii="楷体_GB2312" w:hAnsi="楷体" w:eastAsia="楷体_GB2312"/>
          <w:sz w:val="24"/>
          <w:highlight w:val="none"/>
          <w:lang w:val="en-US" w:eastAsia="zh-CN"/>
        </w:rPr>
        <w:t>封闭式净值型理财产品、公募理财产品、</w:t>
      </w:r>
      <w:r>
        <w:rPr>
          <w:rFonts w:hint="eastAsia" w:ascii="楷体_GB2312" w:hAnsi="楷体" w:eastAsia="楷体_GB2312"/>
          <w:b w:val="0"/>
          <w:bCs w:val="0"/>
          <w:sz w:val="24"/>
          <w:highlight w:val="none"/>
          <w:lang w:eastAsia="zh-Hans"/>
        </w:rPr>
        <w:t>非保本浮动收益</w:t>
      </w:r>
      <w:r>
        <w:rPr>
          <w:rFonts w:hint="eastAsia" w:ascii="楷体_GB2312" w:hAnsi="楷体" w:eastAsia="楷体_GB2312"/>
          <w:b w:val="0"/>
          <w:bCs w:val="0"/>
          <w:sz w:val="24"/>
          <w:highlight w:val="none"/>
          <w:lang w:val="en-US" w:eastAsia="zh-CN"/>
        </w:rPr>
        <w:t>型理财产品、固定收益</w:t>
      </w:r>
      <w:r>
        <w:rPr>
          <w:rFonts w:ascii="楷体_GB2312" w:hAnsi="楷体" w:eastAsia="楷体_GB2312"/>
          <w:sz w:val="24"/>
          <w:highlight w:val="none"/>
        </w:rPr>
        <w:t>类</w:t>
      </w:r>
      <w:r>
        <w:rPr>
          <w:rFonts w:hint="eastAsia" w:ascii="楷体_GB2312" w:hAnsi="楷体" w:eastAsia="楷体_GB2312"/>
          <w:sz w:val="24"/>
          <w:highlight w:val="none"/>
        </w:rPr>
        <w:t>理财产品</w:t>
      </w:r>
      <w:r>
        <w:rPr>
          <w:rFonts w:ascii="楷体_GB2312" w:hAnsi="宋体" w:eastAsia="楷体_GB2312"/>
          <w:color w:val="000000"/>
          <w:sz w:val="24"/>
          <w:highlight w:val="none"/>
        </w:rPr>
        <w:t>，任何预期收益、预计收益、测算收益或类似表述均不具有法律效力，不代表投资者可能获得的实际清算分配金额，亦不构成</w:t>
      </w:r>
      <w:r>
        <w:rPr>
          <w:rFonts w:hint="eastAsia" w:ascii="楷体_GB2312" w:hAnsi="宋体" w:eastAsia="楷体_GB2312"/>
          <w:color w:val="000000"/>
          <w:sz w:val="24"/>
          <w:highlight w:val="none"/>
          <w:lang w:eastAsia="zh-CN"/>
        </w:rPr>
        <w:t>产品管理人</w:t>
      </w:r>
      <w:r>
        <w:rPr>
          <w:rFonts w:ascii="楷体_GB2312" w:hAnsi="宋体" w:eastAsia="楷体_GB2312"/>
          <w:color w:val="000000"/>
          <w:sz w:val="24"/>
          <w:highlight w:val="none"/>
        </w:rPr>
        <w:t>对本理财产品的任何应分配金额承诺，仅供投资者作出投资决定时参考</w:t>
      </w:r>
      <w:r>
        <w:rPr>
          <w:rFonts w:hint="eastAsia" w:ascii="楷体_GB2312" w:hAnsi="宋体" w:eastAsia="楷体_GB2312"/>
          <w:color w:val="000000"/>
          <w:sz w:val="24"/>
          <w:highlight w:val="none"/>
        </w:rPr>
        <w:t>。</w:t>
      </w:r>
    </w:p>
    <w:p w14:paraId="2BB8C01F">
      <w:pPr>
        <w:ind w:firstLine="480" w:firstLineChars="200"/>
        <w:rPr>
          <w:rFonts w:ascii="楷体_GB2312" w:hAnsi="宋体" w:eastAsia="楷体_GB2312"/>
          <w:b/>
          <w:color w:val="000000"/>
          <w:sz w:val="24"/>
          <w:highlight w:val="none"/>
        </w:rPr>
      </w:pPr>
      <w:r>
        <w:rPr>
          <w:rFonts w:hint="eastAsia" w:ascii="楷体_GB2312" w:hAnsi="楷体" w:eastAsia="楷体_GB2312"/>
          <w:sz w:val="24"/>
          <w:highlight w:val="none"/>
        </w:rPr>
        <w:t>★</w:t>
      </w:r>
      <w:r>
        <w:rPr>
          <w:rFonts w:hint="eastAsia" w:ascii="楷体_GB2312" w:hAnsi="宋体" w:eastAsia="楷体_GB2312"/>
          <w:b/>
          <w:color w:val="000000"/>
          <w:sz w:val="24"/>
          <w:highlight w:val="none"/>
        </w:rPr>
        <w:t>二、释义</w:t>
      </w:r>
    </w:p>
    <w:p w14:paraId="0E17FB5D">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（一）参与主体用语</w:t>
      </w:r>
    </w:p>
    <w:p w14:paraId="3213C97B">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w:t>
      </w:r>
      <w:r>
        <w:rPr>
          <w:rFonts w:hint="eastAsia" w:ascii="楷体_GB2312" w:hAnsi="宋体" w:eastAsia="楷体_GB2312"/>
          <w:color w:val="000000"/>
          <w:sz w:val="24"/>
          <w:highlight w:val="none"/>
          <w:lang w:eastAsia="zh-CN"/>
        </w:rPr>
        <w:t>管理人</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w:t>
      </w:r>
      <w:r>
        <w:rPr>
          <w:rFonts w:ascii="楷体_GB2312" w:hAnsi="宋体" w:eastAsia="楷体_GB2312"/>
          <w:color w:val="000000"/>
          <w:sz w:val="24"/>
          <w:highlight w:val="none"/>
        </w:rPr>
        <w:t>指</w:t>
      </w:r>
      <w:r>
        <w:rPr>
          <w:rFonts w:hint="eastAsia" w:ascii="楷体_GB2312" w:hAnsi="宋体" w:eastAsia="楷体_GB2312"/>
          <w:color w:val="000000"/>
          <w:sz w:val="24"/>
          <w:highlight w:val="none"/>
        </w:rPr>
        <w:t>北银理财</w:t>
      </w:r>
      <w:r>
        <w:rPr>
          <w:rFonts w:ascii="楷体_GB2312" w:hAnsi="宋体" w:eastAsia="楷体_GB2312"/>
          <w:color w:val="000000"/>
          <w:sz w:val="24"/>
          <w:highlight w:val="none"/>
        </w:rPr>
        <w:t>有限</w:t>
      </w:r>
      <w:r>
        <w:rPr>
          <w:rFonts w:hint="eastAsia" w:ascii="楷体_GB2312" w:hAnsi="宋体" w:eastAsia="楷体_GB2312"/>
          <w:color w:val="000000"/>
          <w:sz w:val="24"/>
          <w:highlight w:val="none"/>
        </w:rPr>
        <w:t>责任</w:t>
      </w:r>
      <w:r>
        <w:rPr>
          <w:rFonts w:ascii="楷体_GB2312" w:hAnsi="宋体" w:eastAsia="楷体_GB2312"/>
          <w:color w:val="000000"/>
          <w:sz w:val="24"/>
          <w:highlight w:val="none"/>
        </w:rPr>
        <w:t>公司（以下简称“</w:t>
      </w:r>
      <w:r>
        <w:rPr>
          <w:rFonts w:hint="eastAsia" w:ascii="楷体_GB2312" w:hAnsi="宋体" w:eastAsia="楷体_GB2312"/>
          <w:color w:val="000000"/>
          <w:sz w:val="24"/>
          <w:highlight w:val="none"/>
        </w:rPr>
        <w:t>北银理财</w:t>
      </w:r>
      <w:r>
        <w:rPr>
          <w:rFonts w:ascii="楷体_GB2312" w:hAnsi="宋体" w:eastAsia="楷体_GB2312"/>
          <w:color w:val="000000"/>
          <w:sz w:val="24"/>
          <w:highlight w:val="none"/>
        </w:rPr>
        <w:t>”）。</w:t>
      </w:r>
    </w:p>
    <w:p w14:paraId="498BCD67">
      <w:pPr>
        <w:ind w:firstLine="480" w:firstLineChars="200"/>
        <w:rPr>
          <w:rFonts w:ascii="楷体_GB2312" w:hAnsi="宋体" w:eastAsia="楷体_GB2312"/>
          <w:color w:val="auto"/>
          <w:sz w:val="24"/>
          <w:highlight w:val="none"/>
        </w:rPr>
      </w:pPr>
      <w:r>
        <w:rPr>
          <w:rFonts w:hint="eastAsia" w:ascii="楷体_GB2312" w:hAnsi="宋体" w:eastAsia="楷体_GB2312"/>
          <w:color w:val="000000"/>
          <w:sz w:val="24"/>
          <w:highlight w:val="none"/>
        </w:rPr>
        <w:t>2</w:t>
      </w:r>
      <w:r>
        <w:rPr>
          <w:rFonts w:hint="eastAsia" w:ascii="楷体_GB2312" w:hAnsi="宋体" w:eastAsia="楷体_GB2312"/>
          <w:color w:val="auto"/>
          <w:sz w:val="24"/>
          <w:highlight w:val="none"/>
        </w:rPr>
        <w:t>.</w:t>
      </w:r>
      <w:r>
        <w:rPr>
          <w:rFonts w:hint="eastAsia" w:ascii="楷体_GB2312" w:hAnsi="宋体" w:eastAsia="楷体_GB2312"/>
          <w:color w:val="auto"/>
          <w:sz w:val="24"/>
          <w:highlight w:val="none"/>
          <w:lang w:val="en-US" w:eastAsia="zh-CN"/>
        </w:rPr>
        <w:t>托管机构</w:t>
      </w:r>
      <w:r>
        <w:rPr>
          <w:rFonts w:hint="default" w:ascii="楷体_GB2312" w:hAnsi="宋体" w:eastAsia="楷体_GB2312"/>
          <w:color w:val="auto"/>
          <w:sz w:val="24"/>
          <w:highlight w:val="none"/>
          <w:lang w:val="en-US" w:eastAsia="zh-CN"/>
        </w:rPr>
        <w:t>/</w:t>
      </w:r>
      <w:r>
        <w:rPr>
          <w:rFonts w:hint="eastAsia" w:ascii="楷体_GB2312" w:hAnsi="宋体" w:eastAsia="楷体_GB2312"/>
          <w:color w:val="auto"/>
          <w:sz w:val="24"/>
          <w:highlight w:val="none"/>
        </w:rPr>
        <w:t>托管</w:t>
      </w:r>
      <w:r>
        <w:rPr>
          <w:rFonts w:hint="eastAsia" w:ascii="楷体_GB2312" w:hAnsi="宋体" w:eastAsia="楷体_GB2312"/>
          <w:color w:val="auto"/>
          <w:sz w:val="24"/>
          <w:highlight w:val="none"/>
          <w:lang w:val="en-US" w:eastAsia="zh-CN"/>
        </w:rPr>
        <w:t>人</w:t>
      </w:r>
      <w:r>
        <w:rPr>
          <w:rFonts w:hint="default" w:ascii="楷体_GB2312" w:hAnsi="宋体" w:eastAsia="楷体_GB2312"/>
          <w:color w:val="auto"/>
          <w:sz w:val="24"/>
          <w:highlight w:val="none"/>
          <w:lang w:val="en-US" w:eastAsia="zh-CN"/>
        </w:rPr>
        <w:t>/</w:t>
      </w:r>
      <w:r>
        <w:rPr>
          <w:rFonts w:hint="eastAsia" w:ascii="楷体_GB2312" w:hAnsi="宋体" w:eastAsia="楷体_GB2312"/>
          <w:color w:val="auto"/>
          <w:sz w:val="24"/>
          <w:highlight w:val="none"/>
          <w:lang w:val="en-US" w:eastAsia="zh-CN"/>
        </w:rPr>
        <w:t>产品托管人</w:t>
      </w:r>
      <w:r>
        <w:rPr>
          <w:rFonts w:hint="eastAsia" w:ascii="楷体_GB2312" w:hAnsi="宋体" w:eastAsia="楷体_GB2312"/>
          <w:color w:val="auto"/>
          <w:sz w:val="24"/>
          <w:highlight w:val="none"/>
        </w:rPr>
        <w:t>：</w:t>
      </w:r>
      <w:r>
        <w:rPr>
          <w:rFonts w:ascii="楷体_GB2312" w:hAnsi="宋体" w:eastAsia="楷体_GB2312"/>
          <w:color w:val="auto"/>
          <w:sz w:val="24"/>
          <w:highlight w:val="none"/>
        </w:rPr>
        <w:t>指</w:t>
      </w:r>
      <w:r>
        <w:rPr>
          <w:rFonts w:hint="eastAsia" w:ascii="楷体_GB2312" w:hAnsi="宋体" w:eastAsia="楷体_GB2312" w:cs="Times New Roman"/>
          <w:color w:val="auto"/>
          <w:sz w:val="24"/>
          <w:highlight w:val="none"/>
          <w:lang w:val="en-US" w:eastAsia="zh-CN"/>
        </w:rPr>
        <w:t>北京</w:t>
      </w:r>
      <w:r>
        <w:rPr>
          <w:rFonts w:ascii="楷体_GB2312" w:hAnsi="宋体" w:eastAsia="楷体_GB2312"/>
          <w:color w:val="auto"/>
          <w:sz w:val="24"/>
          <w:highlight w:val="none"/>
        </w:rPr>
        <w:t>银行股份有限公司（以下简称</w:t>
      </w:r>
      <w:r>
        <w:rPr>
          <w:rFonts w:hint="eastAsia" w:ascii="楷体_GB2312" w:hAnsi="宋体" w:eastAsia="楷体_GB2312" w:cs="Times New Roman"/>
          <w:color w:val="auto"/>
          <w:sz w:val="24"/>
          <w:highlight w:val="none"/>
          <w:lang w:val="en-US" w:eastAsia="zh-CN"/>
        </w:rPr>
        <w:t>“北京银行”）</w:t>
      </w:r>
      <w:r>
        <w:rPr>
          <w:rFonts w:ascii="楷体_GB2312" w:hAnsi="宋体" w:eastAsia="楷体_GB2312"/>
          <w:color w:val="auto"/>
          <w:sz w:val="24"/>
          <w:highlight w:val="none"/>
        </w:rPr>
        <w:t>。</w:t>
      </w:r>
    </w:p>
    <w:p w14:paraId="568E8E81">
      <w:pPr>
        <w:ind w:firstLine="480" w:firstLineChars="200"/>
        <w:rPr>
          <w:rFonts w:ascii="楷体_GB2312" w:hAnsi="宋体" w:eastAsia="楷体_GB2312"/>
          <w:color w:val="000000"/>
          <w:sz w:val="24"/>
          <w:highlight w:val="none"/>
        </w:rPr>
      </w:pPr>
      <w:r>
        <w:rPr>
          <w:rFonts w:hint="eastAsia" w:ascii="楷体_GB2312" w:hAnsi="宋体" w:eastAsia="楷体_GB2312"/>
          <w:color w:val="auto"/>
          <w:sz w:val="24"/>
          <w:highlight w:val="none"/>
        </w:rPr>
        <w:t>3.代销机构：</w:t>
      </w:r>
      <w:r>
        <w:rPr>
          <w:rFonts w:ascii="楷体_GB2312" w:hAnsi="宋体" w:eastAsia="楷体_GB2312"/>
          <w:color w:val="auto"/>
          <w:sz w:val="24"/>
          <w:highlight w:val="none"/>
        </w:rPr>
        <w:t>指</w:t>
      </w:r>
      <w:r>
        <w:rPr>
          <w:rFonts w:hint="eastAsia" w:ascii="楷体_GB2312" w:hAnsi="宋体" w:eastAsia="楷体_GB2312"/>
          <w:color w:val="000000"/>
          <w:sz w:val="24"/>
          <w:highlight w:val="none"/>
          <w:lang w:eastAsia="zh-Hans"/>
        </w:rPr>
        <w:t>接受</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lang w:eastAsia="zh-Hans"/>
        </w:rPr>
        <w:t>委托销售本理财产品的代理销售机构</w:t>
      </w:r>
      <w:r>
        <w:rPr>
          <w:rFonts w:ascii="楷体_GB2312" w:hAnsi="宋体" w:eastAsia="楷体_GB2312"/>
          <w:color w:val="000000"/>
          <w:sz w:val="24"/>
          <w:highlight w:val="none"/>
        </w:rPr>
        <w:t>。</w:t>
      </w:r>
    </w:p>
    <w:p w14:paraId="5F7F74D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楷体_GB2312" w:hAnsi="宋体" w:eastAsia="楷体_GB2312" w:cs="Times New Roman"/>
          <w:color w:val="auto"/>
          <w:sz w:val="24"/>
          <w:szCs w:val="24"/>
          <w:highlight w:val="none"/>
          <w:lang w:val="en-US" w:eastAsia="zh-CN"/>
        </w:rPr>
      </w:pPr>
      <w:r>
        <w:rPr>
          <w:rFonts w:hint="eastAsia" w:ascii="楷体_GB2312" w:hAnsi="宋体" w:eastAsia="楷体_GB2312" w:cs="Times New Roman"/>
          <w:color w:val="auto"/>
          <w:sz w:val="24"/>
          <w:highlight w:val="none"/>
        </w:rPr>
        <w:t>4.</w:t>
      </w:r>
      <w:r>
        <w:rPr>
          <w:rFonts w:hint="eastAsia" w:ascii="楷体_GB2312" w:hAnsi="宋体" w:eastAsia="楷体_GB2312" w:cs="Times New Roman"/>
          <w:color w:val="auto"/>
          <w:sz w:val="24"/>
          <w:szCs w:val="24"/>
          <w:highlight w:val="none"/>
          <w:lang w:val="en-US" w:eastAsia="zh-CN"/>
        </w:rPr>
        <w:t>专业投资者与普通投资者：符合下列条件之一的是专业投资者：（一）银行业金融机构、保险业金融机构、金融控股公司、证券基金期货经营机构、私募基金管理人；（二）上述机构面向投资者发行的金融产品，信托公司管理的资产服务信托、公益慈善信托；（三）社会保障基金、企业年金、职业年金等养老基金，慈善基金等社会公益基金，合格境外机构投资者（QFII）、人民币合格境外机构投资者（RQFII）。</w:t>
      </w:r>
    </w:p>
    <w:p w14:paraId="19FE99FB">
      <w:pPr>
        <w:ind w:firstLine="480"/>
        <w:rPr>
          <w:rFonts w:hint="eastAsia" w:ascii="楷体_GB2312" w:hAnsi="宋体" w:eastAsia="楷体_GB2312" w:cs="Times New Roman"/>
          <w:color w:val="auto"/>
          <w:sz w:val="24"/>
          <w:highlight w:val="none"/>
        </w:rPr>
      </w:pPr>
      <w:r>
        <w:rPr>
          <w:rFonts w:hint="eastAsia" w:ascii="楷体_GB2312" w:hAnsi="宋体" w:eastAsia="楷体_GB2312" w:cs="Times New Roman"/>
          <w:color w:val="auto"/>
          <w:sz w:val="24"/>
          <w:szCs w:val="24"/>
          <w:highlight w:val="none"/>
          <w:u w:val="none"/>
          <w:shd w:val="clear"/>
          <w:lang w:val="en-US" w:eastAsia="zh-CN"/>
        </w:rPr>
        <w:t>专业投资者之外的投资者为普通投资者。</w:t>
      </w:r>
    </w:p>
    <w:p w14:paraId="275F14C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5.投资合作机构：包括但不限于</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理财产品所投资资产管理产品的发行机构、根据合同约定从事</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理财产品受托投资的机构</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rPr>
        <w:t>以及与</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理财产品投资管理相关的投资顾问等。</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理财产品投资合作机构依据监管要求进行名单制管理，所有</w:t>
      </w:r>
      <w:r>
        <w:rPr>
          <w:rFonts w:hint="eastAsia" w:ascii="楷体_GB2312" w:hAnsi="宋体" w:eastAsia="楷体_GB2312"/>
          <w:color w:val="000000"/>
          <w:sz w:val="24"/>
          <w:highlight w:val="none"/>
          <w:lang w:val="en-US" w:eastAsia="zh-CN"/>
        </w:rPr>
        <w:t>投资</w:t>
      </w:r>
      <w:r>
        <w:rPr>
          <w:rFonts w:hint="eastAsia" w:ascii="楷体_GB2312" w:hAnsi="宋体" w:eastAsia="楷体_GB2312"/>
          <w:color w:val="000000"/>
          <w:sz w:val="24"/>
          <w:highlight w:val="none"/>
        </w:rPr>
        <w:t>合作机构均经过北银理财相关制度流程选任，符合准入标准和程序。</w:t>
      </w:r>
    </w:p>
    <w:p w14:paraId="6A627A08">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6.</w:t>
      </w:r>
      <w:r>
        <w:rPr>
          <w:rFonts w:hint="eastAsia" w:ascii="楷体_GB2312" w:hAnsi="楷体" w:eastAsia="楷体_GB2312"/>
          <w:sz w:val="24"/>
          <w:highlight w:val="none"/>
        </w:rPr>
        <w:t>国家金融监督管理总局</w:t>
      </w:r>
      <w:r>
        <w:rPr>
          <w:rFonts w:hint="eastAsia" w:ascii="楷体_GB2312" w:hAnsi="宋体" w:eastAsia="楷体_GB2312"/>
          <w:color w:val="000000"/>
          <w:sz w:val="24"/>
          <w:highlight w:val="none"/>
        </w:rPr>
        <w:t>：指</w:t>
      </w:r>
      <w:r>
        <w:rPr>
          <w:rFonts w:hint="eastAsia" w:ascii="楷体_GB2312" w:hAnsi="宋体" w:eastAsia="楷体_GB2312"/>
          <w:color w:val="000000"/>
          <w:sz w:val="24"/>
          <w:highlight w:val="none"/>
          <w:lang w:val="en-US" w:eastAsia="zh-CN"/>
        </w:rPr>
        <w:t>国务院直属的</w:t>
      </w:r>
      <w:r>
        <w:rPr>
          <w:rFonts w:hint="eastAsia" w:ascii="楷体_GB2312" w:hAnsi="楷体" w:eastAsia="楷体_GB2312"/>
          <w:sz w:val="24"/>
          <w:highlight w:val="none"/>
        </w:rPr>
        <w:t>国家金融监督管理总局</w:t>
      </w:r>
      <w:r>
        <w:rPr>
          <w:rFonts w:hint="eastAsia" w:ascii="楷体_GB2312" w:hAnsi="宋体" w:eastAsia="楷体_GB2312"/>
          <w:color w:val="000000"/>
          <w:sz w:val="24"/>
          <w:highlight w:val="none"/>
        </w:rPr>
        <w:t>。</w:t>
      </w:r>
    </w:p>
    <w:p w14:paraId="0B227AED">
      <w:pPr>
        <w:ind w:firstLine="480" w:firstLineChars="20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rPr>
        <w:t>7.证券交易所：指上海证券交易所、深圳证券交易所和北京证券交易所。</w:t>
      </w:r>
    </w:p>
    <w:p w14:paraId="4EEC1129">
      <w:pPr>
        <w:ind w:firstLine="480" w:firstLineChars="200"/>
        <w:rPr>
          <w:rFonts w:hint="eastAsia" w:ascii="楷体_GB2312" w:hAnsi="宋体" w:eastAsia="楷体_GB2312"/>
          <w:color w:val="000000"/>
          <w:sz w:val="24"/>
          <w:highlight w:val="none"/>
        </w:rPr>
      </w:pPr>
      <w:r>
        <w:rPr>
          <w:rFonts w:ascii="楷体_GB2312" w:hAnsi="宋体" w:eastAsia="楷体_GB2312"/>
          <w:color w:val="000000"/>
          <w:sz w:val="24"/>
          <w:highlight w:val="none"/>
        </w:rPr>
        <w:t>8.</w:t>
      </w:r>
      <w:r>
        <w:rPr>
          <w:rFonts w:hint="eastAsia" w:ascii="楷体_GB2312" w:hAnsi="宋体" w:eastAsia="楷体_GB2312"/>
          <w:color w:val="000000"/>
          <w:sz w:val="24"/>
          <w:highlight w:val="none"/>
          <w:lang w:eastAsia="zh-Hans"/>
        </w:rPr>
        <w:t>监管机构：指对</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lang w:eastAsia="zh-Hans"/>
        </w:rPr>
        <w:t>产品管理人</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lang w:eastAsia="zh-Hans"/>
        </w:rPr>
        <w:t>理财产品所投资的资管产品的</w:t>
      </w:r>
      <w:r>
        <w:rPr>
          <w:rFonts w:hint="eastAsia" w:ascii="楷体_GB2312" w:hAnsi="楷体" w:eastAsia="楷体_GB2312"/>
          <w:sz w:val="24"/>
          <w:highlight w:val="none"/>
        </w:rPr>
        <w:t>资产管理人</w:t>
      </w:r>
      <w:r>
        <w:rPr>
          <w:rFonts w:hint="eastAsia" w:ascii="楷体_GB2312" w:hAnsi="宋体" w:eastAsia="楷体_GB2312"/>
          <w:color w:val="000000"/>
          <w:sz w:val="24"/>
          <w:highlight w:val="none"/>
          <w:lang w:eastAsia="zh-Hans"/>
        </w:rPr>
        <w:t>/受托人</w:t>
      </w:r>
      <w:r>
        <w:rPr>
          <w:rFonts w:hint="eastAsia" w:ascii="楷体_GB2312" w:hAnsi="楷体" w:eastAsia="楷体_GB2312"/>
          <w:sz w:val="24"/>
          <w:highlight w:val="none"/>
        </w:rPr>
        <w:t>（若有）</w:t>
      </w:r>
      <w:r>
        <w:rPr>
          <w:rFonts w:hint="eastAsia" w:ascii="楷体_GB2312" w:hAnsi="宋体" w:eastAsia="楷体_GB2312"/>
          <w:color w:val="000000"/>
          <w:sz w:val="24"/>
          <w:highlight w:val="none"/>
          <w:lang w:eastAsia="zh-Hans"/>
        </w:rPr>
        <w:t>、相关投资顾问</w:t>
      </w:r>
      <w:r>
        <w:rPr>
          <w:rFonts w:hint="eastAsia" w:ascii="楷体_GB2312" w:hAnsi="楷体" w:eastAsia="楷体_GB2312"/>
          <w:sz w:val="24"/>
          <w:highlight w:val="none"/>
        </w:rPr>
        <w:t>（若有）</w:t>
      </w:r>
      <w:r>
        <w:rPr>
          <w:rFonts w:hint="eastAsia" w:ascii="楷体_GB2312" w:hAnsi="宋体" w:eastAsia="楷体_GB2312"/>
          <w:color w:val="000000"/>
          <w:sz w:val="24"/>
          <w:highlight w:val="none"/>
          <w:lang w:eastAsia="zh-Hans"/>
        </w:rPr>
        <w:t>等实施监督管理的机构，包括但不限于中国人民银行、</w:t>
      </w:r>
      <w:r>
        <w:rPr>
          <w:rFonts w:hint="eastAsia" w:ascii="楷体_GB2312" w:hAnsi="楷体" w:eastAsia="楷体_GB2312"/>
          <w:sz w:val="24"/>
          <w:highlight w:val="none"/>
        </w:rPr>
        <w:t>国家金融监督管理总局</w:t>
      </w:r>
      <w:r>
        <w:rPr>
          <w:rFonts w:hint="eastAsia" w:ascii="楷体_GB2312" w:hAnsi="宋体" w:eastAsia="楷体_GB2312"/>
          <w:color w:val="000000"/>
          <w:sz w:val="24"/>
          <w:highlight w:val="none"/>
          <w:lang w:eastAsia="zh-Hans"/>
        </w:rPr>
        <w:t>、中国证券监督管理委员会、外汇管理局、证券交易所、银行业理财登记托管中心等。</w:t>
      </w:r>
    </w:p>
    <w:p w14:paraId="1B67BBA6">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（二）法律文件用语</w:t>
      </w:r>
    </w:p>
    <w:p w14:paraId="53E39DC5">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1.理财产品销售文件：指《理财产品投资协议书》、《理财产品说明书》、《风险揭示书》、《投资者权益须知》和《代理销售协议书》（具体名称以代销机构为准）</w:t>
      </w:r>
      <w:r>
        <w:rPr>
          <w:rFonts w:hint="eastAsia" w:ascii="楷体_GB2312" w:hAnsi="宋体" w:eastAsia="楷体_GB2312"/>
          <w:color w:val="000000"/>
          <w:sz w:val="24"/>
          <w:highlight w:val="none"/>
          <w:lang w:eastAsia="zh-CN"/>
        </w:rPr>
        <w:t>，</w:t>
      </w:r>
      <w:r>
        <w:rPr>
          <w:rFonts w:ascii="楷体_GB2312" w:hAnsi="宋体" w:eastAsia="楷体_GB2312"/>
          <w:color w:val="000000"/>
          <w:sz w:val="24"/>
          <w:highlight w:val="none"/>
        </w:rPr>
        <w:t>以及对该</w:t>
      </w:r>
      <w:r>
        <w:rPr>
          <w:rFonts w:hint="eastAsia" w:ascii="楷体_GB2312" w:hAnsi="宋体" w:eastAsia="楷体_GB2312"/>
          <w:color w:val="000000"/>
          <w:sz w:val="24"/>
          <w:highlight w:val="none"/>
          <w:lang w:val="en-US" w:eastAsia="zh-CN"/>
        </w:rPr>
        <w:t>等</w:t>
      </w:r>
      <w:r>
        <w:rPr>
          <w:rFonts w:ascii="楷体_GB2312" w:hAnsi="宋体" w:eastAsia="楷体_GB2312"/>
          <w:color w:val="000000"/>
          <w:sz w:val="24"/>
          <w:highlight w:val="none"/>
        </w:rPr>
        <w:t>文件的有效修改或补充。</w:t>
      </w:r>
    </w:p>
    <w:p w14:paraId="65545318">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2.风险</w:t>
      </w:r>
      <w:r>
        <w:rPr>
          <w:rFonts w:hint="eastAsia" w:ascii="楷体_GB2312" w:hAnsi="宋体" w:eastAsia="楷体_GB2312" w:cs="Times New Roman"/>
          <w:color w:val="000000"/>
          <w:sz w:val="24"/>
          <w:highlight w:val="none"/>
          <w:lang w:val="en-US" w:eastAsia="zh-CN"/>
        </w:rPr>
        <w:t>揭示</w:t>
      </w:r>
      <w:r>
        <w:rPr>
          <w:rFonts w:hint="eastAsia" w:ascii="楷体_GB2312" w:hAnsi="宋体" w:eastAsia="楷体_GB2312" w:cs="Times New Roman"/>
          <w:color w:val="000000"/>
          <w:sz w:val="24"/>
          <w:highlight w:val="none"/>
        </w:rPr>
        <w:t>书：指作为</w:t>
      </w:r>
      <w:r>
        <w:rPr>
          <w:rFonts w:hint="eastAsia" w:ascii="楷体_GB2312" w:hAnsi="宋体" w:eastAsia="楷体_GB2312"/>
          <w:color w:val="000000"/>
          <w:sz w:val="24"/>
          <w:highlight w:val="none"/>
        </w:rPr>
        <w:t>理财产品销售文件</w:t>
      </w:r>
      <w:r>
        <w:rPr>
          <w:rFonts w:hint="eastAsia" w:ascii="楷体_GB2312" w:hAnsi="宋体" w:eastAsia="楷体_GB2312" w:cs="Times New Roman"/>
          <w:color w:val="000000"/>
          <w:sz w:val="24"/>
          <w:highlight w:val="none"/>
        </w:rPr>
        <w:t>不可</w:t>
      </w:r>
      <w:r>
        <w:rPr>
          <w:rFonts w:hint="eastAsia" w:ascii="楷体_GB2312" w:hAnsi="宋体" w:eastAsia="楷体_GB2312"/>
          <w:color w:val="000000"/>
          <w:sz w:val="24"/>
          <w:highlight w:val="none"/>
        </w:rPr>
        <w:t>分割组成部分</w:t>
      </w:r>
      <w:r>
        <w:rPr>
          <w:rFonts w:hint="eastAsia" w:ascii="楷体_GB2312" w:hAnsi="宋体" w:eastAsia="楷体_GB2312"/>
          <w:color w:val="000000"/>
          <w:sz w:val="24"/>
          <w:highlight w:val="none"/>
          <w:lang w:val="en-US" w:eastAsia="zh-CN"/>
        </w:rPr>
        <w:t>之</w:t>
      </w:r>
      <w:r>
        <w:rPr>
          <w:rFonts w:hint="eastAsia" w:ascii="楷体_GB2312" w:hAnsi="宋体" w:eastAsia="楷体_GB2312"/>
          <w:color w:val="000000"/>
          <w:sz w:val="24"/>
          <w:highlight w:val="none"/>
        </w:rPr>
        <w:t>《风险揭示书》，以及对该文件的有效修改或补充。</w:t>
      </w:r>
    </w:p>
    <w:p w14:paraId="48DAFD77">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3</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理财产品</w:t>
      </w:r>
      <w:r>
        <w:rPr>
          <w:rFonts w:hint="eastAsia" w:ascii="楷体_GB2312" w:hAnsi="宋体" w:eastAsia="楷体_GB2312"/>
          <w:color w:val="000000"/>
          <w:sz w:val="24"/>
          <w:highlight w:val="none"/>
        </w:rPr>
        <w:t>投资协议书：指作为理财产品销售文件不可分割组成部分</w:t>
      </w:r>
      <w:r>
        <w:rPr>
          <w:rFonts w:hint="eastAsia" w:ascii="楷体_GB2312" w:hAnsi="宋体" w:eastAsia="楷体_GB2312"/>
          <w:color w:val="000000"/>
          <w:sz w:val="24"/>
          <w:highlight w:val="none"/>
          <w:lang w:val="en-US" w:eastAsia="zh-CN"/>
        </w:rPr>
        <w:t>之</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理财产品</w:t>
      </w:r>
      <w:r>
        <w:rPr>
          <w:rFonts w:hint="eastAsia" w:ascii="楷体_GB2312" w:hAnsi="宋体" w:eastAsia="楷体_GB2312"/>
          <w:color w:val="000000"/>
          <w:sz w:val="24"/>
          <w:highlight w:val="none"/>
        </w:rPr>
        <w:t>投资协议书》，以及对该文件的有效修改或补充。</w:t>
      </w:r>
    </w:p>
    <w:p w14:paraId="53F0454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4</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产品说明书：指作为理财产品销售文件不可分割组成部分</w:t>
      </w:r>
      <w:r>
        <w:rPr>
          <w:rFonts w:hint="eastAsia" w:ascii="楷体_GB2312" w:hAnsi="宋体" w:eastAsia="楷体_GB2312"/>
          <w:color w:val="000000"/>
          <w:sz w:val="24"/>
          <w:highlight w:val="none"/>
          <w:lang w:val="en-US" w:eastAsia="zh-CN"/>
        </w:rPr>
        <w:t>之</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产品说明书》，以及对该文件的有效修改或补充。</w:t>
      </w:r>
    </w:p>
    <w:p w14:paraId="504D7C9D">
      <w:pPr>
        <w:ind w:firstLine="480" w:firstLineChars="200"/>
        <w:rPr>
          <w:rFonts w:hint="eastAsia"/>
          <w:highlight w:val="none"/>
        </w:rPr>
      </w:pPr>
      <w:r>
        <w:rPr>
          <w:rFonts w:hint="eastAsia" w:ascii="楷体_GB2312" w:hAnsi="宋体" w:eastAsia="楷体_GB2312"/>
          <w:color w:val="000000"/>
          <w:sz w:val="24"/>
          <w:highlight w:val="none"/>
          <w:lang w:val="en-US" w:eastAsia="zh-CN"/>
        </w:rPr>
        <w:t>5</w:t>
      </w:r>
      <w:r>
        <w:rPr>
          <w:rFonts w:hint="eastAsia" w:ascii="楷体_GB2312" w:hAnsi="宋体" w:eastAsia="楷体_GB2312"/>
          <w:color w:val="000000"/>
          <w:sz w:val="24"/>
          <w:highlight w:val="none"/>
        </w:rPr>
        <w:t>.投资者权益须知：指作为理财产品销售文件不可分割组成部分</w:t>
      </w:r>
      <w:r>
        <w:rPr>
          <w:rFonts w:hint="eastAsia" w:ascii="楷体_GB2312" w:hAnsi="宋体" w:eastAsia="楷体_GB2312"/>
          <w:color w:val="000000"/>
          <w:sz w:val="24"/>
          <w:highlight w:val="none"/>
          <w:lang w:val="en-US" w:eastAsia="zh-CN"/>
        </w:rPr>
        <w:t>之</w:t>
      </w:r>
      <w:r>
        <w:rPr>
          <w:rFonts w:hint="eastAsia" w:ascii="楷体_GB2312" w:hAnsi="宋体" w:eastAsia="楷体_GB2312"/>
          <w:color w:val="000000"/>
          <w:sz w:val="24"/>
          <w:highlight w:val="none"/>
        </w:rPr>
        <w:t>《投资者权益须知》，以及对该文件的有效修改或补充。</w:t>
      </w:r>
    </w:p>
    <w:p w14:paraId="5D1BA76A">
      <w:pPr>
        <w:ind w:firstLine="480" w:firstLineChars="200"/>
        <w:rPr>
          <w:rFonts w:hint="eastAsia" w:ascii="楷体_GB2312" w:eastAsia="楷体_GB2312"/>
          <w:color w:val="000000"/>
          <w:sz w:val="24"/>
          <w:highlight w:val="none"/>
        </w:rPr>
      </w:pPr>
      <w:r>
        <w:rPr>
          <w:rFonts w:hint="eastAsia" w:ascii="楷体_GB2312" w:eastAsia="楷体_GB2312"/>
          <w:color w:val="000000"/>
          <w:sz w:val="24"/>
          <w:highlight w:val="none"/>
        </w:rPr>
        <w:t>（</w:t>
      </w:r>
      <w:r>
        <w:rPr>
          <w:rFonts w:hint="eastAsia" w:ascii="楷体_GB2312" w:eastAsia="楷体_GB2312"/>
          <w:color w:val="000000"/>
          <w:sz w:val="24"/>
          <w:highlight w:val="none"/>
          <w:lang w:val="en-US" w:eastAsia="zh-CN"/>
        </w:rPr>
        <w:t>三</w:t>
      </w:r>
      <w:r>
        <w:rPr>
          <w:rFonts w:hint="eastAsia" w:ascii="楷体_GB2312" w:eastAsia="楷体_GB2312"/>
          <w:color w:val="000000"/>
          <w:sz w:val="24"/>
          <w:highlight w:val="none"/>
        </w:rPr>
        <w:t>）理财产品用语</w:t>
      </w:r>
    </w:p>
    <w:p w14:paraId="31AD434F">
      <w:pPr>
        <w:ind w:firstLine="480" w:firstLineChars="200"/>
        <w:rPr>
          <w:rFonts w:hint="eastAsia" w:ascii="楷体_GB2312" w:hAnsi="宋体" w:eastAsia="楷体_GB2312" w:cs="Times New Roman"/>
          <w:color w:val="000000"/>
          <w:sz w:val="24"/>
          <w:highlight w:val="none"/>
          <w:lang w:eastAsia="zh-CN"/>
        </w:rPr>
      </w:pPr>
      <w:r>
        <w:rPr>
          <w:rFonts w:hint="eastAsia" w:ascii="楷体_GB2312" w:hAnsi="宋体" w:eastAsia="楷体_GB2312"/>
          <w:color w:val="000000"/>
          <w:sz w:val="24"/>
          <w:highlight w:val="none"/>
        </w:rPr>
        <w:t>1.理财/本理财产品/理财产品/本产品：指</w:t>
      </w:r>
      <w:r>
        <w:rPr>
          <w:rFonts w:hint="eastAsia" w:ascii="楷体_GB2312" w:hAnsi="宋体" w:eastAsia="楷体_GB2312" w:cs="Times New Roman"/>
          <w:color w:val="000000"/>
          <w:sz w:val="24"/>
          <w:highlight w:val="none"/>
          <w:lang w:eastAsia="zh-CN"/>
        </w:rPr>
        <w:t>北银理财京华远见春系列卓远固收封闭式290号</w:t>
      </w:r>
      <w:r>
        <w:rPr>
          <w:rFonts w:hint="eastAsia" w:ascii="楷体_GB2312" w:hAnsi="宋体" w:eastAsia="楷体_GB2312" w:cs="Times New Roman"/>
          <w:color w:val="000000"/>
          <w:sz w:val="24"/>
          <w:highlight w:val="none"/>
        </w:rPr>
        <w:t>理财产品</w:t>
      </w:r>
      <w:r>
        <w:rPr>
          <w:rFonts w:hint="eastAsia" w:ascii="楷体_GB2312" w:hAnsi="宋体" w:eastAsia="楷体_GB2312" w:cs="Times New Roman"/>
          <w:color w:val="000000"/>
          <w:sz w:val="24"/>
          <w:highlight w:val="none"/>
          <w:lang w:eastAsia="zh-CN"/>
        </w:rPr>
        <w:t>。</w:t>
      </w:r>
    </w:p>
    <w:p w14:paraId="34235355">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2.理财产品份额/产品份额：指投资者持有</w:t>
      </w:r>
      <w:r>
        <w:rPr>
          <w:rFonts w:hint="eastAsia" w:ascii="楷体_GB2312" w:hAnsi="宋体" w:eastAsia="楷体_GB2312"/>
          <w:color w:val="000000"/>
          <w:sz w:val="24"/>
          <w:highlight w:val="none"/>
          <w:lang w:eastAsia="zh-CN"/>
        </w:rPr>
        <w:t>本理财产品</w:t>
      </w:r>
      <w:r>
        <w:rPr>
          <w:rFonts w:hint="eastAsia" w:ascii="楷体_GB2312" w:hAnsi="宋体" w:eastAsia="楷体_GB2312"/>
          <w:color w:val="000000"/>
          <w:sz w:val="24"/>
          <w:highlight w:val="none"/>
        </w:rPr>
        <w:t>的单位数额。投资者基于其所持有的</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理财产品单位数额享有</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理财产品收益、承担</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理财产品风险。</w:t>
      </w:r>
    </w:p>
    <w:p w14:paraId="2F127044">
      <w:pPr>
        <w:ind w:firstLine="480" w:firstLineChars="200"/>
        <w:rPr>
          <w:rFonts w:ascii="楷体_GB2312" w:hAnsi="宋体" w:eastAsia="楷体_GB2312"/>
          <w:color w:val="000000"/>
          <w:sz w:val="24"/>
          <w:highlight w:val="none"/>
        </w:rPr>
      </w:pPr>
      <w:r>
        <w:rPr>
          <w:rFonts w:hint="eastAsia" w:ascii="楷体_GB2312" w:hAnsi="楷体" w:eastAsia="楷体_GB2312"/>
          <w:sz w:val="24"/>
          <w:highlight w:val="none"/>
        </w:rPr>
        <w:t>★</w:t>
      </w:r>
      <w:r>
        <w:rPr>
          <w:rFonts w:hint="eastAsia" w:ascii="楷体_GB2312" w:hAnsi="宋体" w:eastAsia="楷体_GB2312"/>
          <w:color w:val="000000"/>
          <w:sz w:val="24"/>
          <w:highlight w:val="none"/>
        </w:rPr>
        <w:t>3</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理财产品份额类别/产品份额类别：指根据投资者购买</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理财产品的金额、</w:t>
      </w:r>
      <w:r>
        <w:rPr>
          <w:rFonts w:hint="eastAsia" w:ascii="楷体_GB2312" w:hAnsi="宋体" w:eastAsia="楷体_GB2312"/>
          <w:color w:val="000000"/>
          <w:sz w:val="24"/>
          <w:highlight w:val="none"/>
          <w:lang w:val="en-US" w:eastAsia="zh-CN"/>
        </w:rPr>
        <w:t>渠道客群</w:t>
      </w:r>
      <w:r>
        <w:rPr>
          <w:rFonts w:hint="eastAsia" w:ascii="楷体_GB2312" w:hAnsi="宋体" w:eastAsia="楷体_GB2312"/>
          <w:color w:val="000000"/>
          <w:sz w:val="24"/>
          <w:highlight w:val="none"/>
        </w:rPr>
        <w:t>、代销机构等因素，对</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理财产品份额设置不同的理财产品份额类别。</w:t>
      </w:r>
      <w:bookmarkStart w:id="4" w:name="_Hlk146058411"/>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有权对</w:t>
      </w:r>
      <w:bookmarkEnd w:id="4"/>
      <w:r>
        <w:rPr>
          <w:rFonts w:hint="eastAsia" w:ascii="楷体_GB2312" w:hAnsi="宋体" w:eastAsia="楷体_GB2312"/>
          <w:color w:val="000000"/>
          <w:sz w:val="24"/>
          <w:highlight w:val="none"/>
        </w:rPr>
        <w:t>各类产品份额分设不同的销售名称及销售代码，分别设置钞汇标志、代销机构、</w:t>
      </w:r>
      <w:r>
        <w:rPr>
          <w:rFonts w:hint="eastAsia" w:ascii="楷体_GB2312" w:hAnsi="宋体" w:eastAsia="楷体_GB2312"/>
          <w:color w:val="000000"/>
          <w:sz w:val="24"/>
          <w:highlight w:val="none"/>
          <w:lang w:val="en-US" w:eastAsia="zh-CN"/>
        </w:rPr>
        <w:t>渠道客群</w:t>
      </w:r>
      <w:r>
        <w:rPr>
          <w:rFonts w:hint="eastAsia" w:ascii="楷体_GB2312" w:hAnsi="宋体" w:eastAsia="楷体_GB2312"/>
          <w:color w:val="000000"/>
          <w:sz w:val="24"/>
          <w:highlight w:val="none"/>
        </w:rPr>
        <w:t>、销售手续费率、认购</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申购投资起点金额及递增金额、单笔最大购买金额、累计购买金额、最少赎回份额等认购</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申购和赎回的数量限制、最低持有份额</w:t>
      </w:r>
      <w:r>
        <w:rPr>
          <w:rFonts w:hint="eastAsia" w:ascii="楷体_GB2312" w:hAnsi="宋体" w:eastAsia="楷体_GB2312"/>
          <w:color w:val="000000"/>
          <w:sz w:val="24"/>
          <w:highlight w:val="none"/>
          <w:lang w:eastAsia="zh-CN"/>
        </w:rPr>
        <w:t>等</w:t>
      </w:r>
      <w:r>
        <w:rPr>
          <w:rFonts w:hint="eastAsia" w:ascii="楷体_GB2312" w:hAnsi="宋体" w:eastAsia="楷体_GB2312"/>
          <w:color w:val="000000"/>
          <w:sz w:val="24"/>
          <w:highlight w:val="none"/>
        </w:rPr>
        <w:t>。各类</w:t>
      </w:r>
      <w:r>
        <w:rPr>
          <w:rFonts w:hint="eastAsia" w:ascii="楷体_GB2312" w:hAnsi="宋体" w:eastAsia="楷体_GB2312"/>
          <w:color w:val="000000"/>
          <w:sz w:val="24"/>
          <w:highlight w:val="none"/>
          <w:lang w:eastAsia="zh-CN"/>
        </w:rPr>
        <w:t>产品</w:t>
      </w:r>
      <w:r>
        <w:rPr>
          <w:rFonts w:hint="eastAsia" w:ascii="楷体_GB2312" w:hAnsi="宋体" w:eastAsia="楷体_GB2312"/>
          <w:color w:val="000000"/>
          <w:sz w:val="24"/>
          <w:highlight w:val="none"/>
        </w:rPr>
        <w:t>份额的差异性约定在</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rPr>
        <w:t>理财产品说明书</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rPr>
        <w:t>中进行明确列举，除明确列举所适用</w:t>
      </w:r>
      <w:r>
        <w:rPr>
          <w:rFonts w:hint="eastAsia" w:ascii="楷体_GB2312" w:hAnsi="宋体" w:eastAsia="楷体_GB2312"/>
          <w:color w:val="000000"/>
          <w:sz w:val="24"/>
          <w:highlight w:val="none"/>
          <w:lang w:eastAsia="zh-CN"/>
        </w:rPr>
        <w:t>产品</w:t>
      </w:r>
      <w:r>
        <w:rPr>
          <w:rFonts w:hint="eastAsia" w:ascii="楷体_GB2312" w:hAnsi="宋体" w:eastAsia="楷体_GB2312"/>
          <w:color w:val="000000"/>
          <w:sz w:val="24"/>
          <w:highlight w:val="none"/>
        </w:rPr>
        <w:t>份额类别的条款外，</w:t>
      </w:r>
      <w:r>
        <w:rPr>
          <w:rFonts w:hint="eastAsia" w:ascii="楷体_GB2312" w:hAnsi="宋体" w:eastAsia="楷体_GB2312"/>
          <w:color w:val="000000"/>
          <w:sz w:val="24"/>
          <w:highlight w:val="none"/>
          <w:lang w:eastAsia="zh-CN"/>
        </w:rPr>
        <w:t>本理财产品销售文件</w:t>
      </w:r>
      <w:r>
        <w:rPr>
          <w:rFonts w:hint="eastAsia" w:ascii="楷体_GB2312" w:hAnsi="宋体" w:eastAsia="楷体_GB2312"/>
          <w:color w:val="000000"/>
          <w:sz w:val="24"/>
          <w:highlight w:val="none"/>
        </w:rPr>
        <w:t>其他条款均适用于全部份额。</w:t>
      </w:r>
    </w:p>
    <w:p w14:paraId="1F62972C">
      <w:pPr>
        <w:pStyle w:val="3"/>
        <w:ind w:left="0" w:leftChars="0" w:firstLine="480" w:firstLineChars="200"/>
        <w:rPr>
          <w:rFonts w:ascii="楷体_GB2312" w:hAnsi="宋体" w:eastAsia="楷体_GB2312"/>
          <w:color w:val="000000"/>
          <w:sz w:val="24"/>
          <w:highlight w:val="none"/>
        </w:rPr>
      </w:pPr>
      <w:r>
        <w:rPr>
          <w:rFonts w:hint="eastAsia" w:ascii="楷体_GB2312" w:hAnsi="楷体" w:eastAsia="楷体_GB2312"/>
          <w:sz w:val="24"/>
          <w:highlight w:val="none"/>
        </w:rPr>
        <w:t>★</w:t>
      </w:r>
      <w:r>
        <w:rPr>
          <w:rFonts w:hint="eastAsia" w:ascii="楷体_GB2312" w:hAnsi="宋体" w:eastAsia="楷体_GB2312"/>
          <w:color w:val="000000"/>
          <w:sz w:val="24"/>
          <w:highlight w:val="none"/>
        </w:rPr>
        <w:t>4</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产品销售名称：指本理财产品可能存在不同产品份额类别，</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在理财产品销售管理过程中为区分不同产品份额类别，在同一理财产品名称</w:t>
      </w:r>
      <w:r>
        <w:rPr>
          <w:rFonts w:hint="eastAsia" w:ascii="楷体_GB2312" w:hAnsi="宋体" w:eastAsia="楷体_GB2312"/>
          <w:color w:val="000000"/>
          <w:sz w:val="24"/>
          <w:highlight w:val="none"/>
          <w:lang w:eastAsia="zh-CN"/>
        </w:rPr>
        <w:t>项</w:t>
      </w:r>
      <w:r>
        <w:rPr>
          <w:rFonts w:hint="eastAsia" w:ascii="楷体_GB2312" w:hAnsi="宋体" w:eastAsia="楷体_GB2312"/>
          <w:color w:val="000000"/>
          <w:sz w:val="24"/>
          <w:highlight w:val="none"/>
        </w:rPr>
        <w:t>下设置的产品销售名称。</w:t>
      </w:r>
    </w:p>
    <w:p w14:paraId="319AEB67">
      <w:pPr>
        <w:ind w:firstLine="480" w:firstLineChars="200"/>
        <w:rPr>
          <w:rFonts w:ascii="楷体_GB2312" w:hAnsi="宋体" w:eastAsia="楷体_GB2312"/>
          <w:color w:val="000000"/>
          <w:sz w:val="24"/>
          <w:highlight w:val="none"/>
        </w:rPr>
      </w:pPr>
      <w:r>
        <w:rPr>
          <w:rFonts w:hint="eastAsia" w:ascii="楷体_GB2312" w:hAnsi="楷体" w:eastAsia="楷体_GB2312"/>
          <w:sz w:val="24"/>
          <w:highlight w:val="none"/>
        </w:rPr>
        <w:t>★</w:t>
      </w:r>
      <w:r>
        <w:rPr>
          <w:rFonts w:ascii="楷体_GB2312" w:hAnsi="宋体" w:eastAsia="楷体_GB2312"/>
          <w:color w:val="000000"/>
          <w:sz w:val="24"/>
          <w:highlight w:val="none"/>
        </w:rPr>
        <w:t>5.</w:t>
      </w:r>
      <w:r>
        <w:rPr>
          <w:rFonts w:hint="eastAsia" w:ascii="楷体_GB2312" w:hAnsi="宋体" w:eastAsia="楷体_GB2312"/>
          <w:color w:val="000000"/>
          <w:sz w:val="24"/>
          <w:highlight w:val="none"/>
        </w:rPr>
        <w:t>产品销售代码：指本理财产品可能存在不同产品份额类别，</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在理财产品销售管理过程中为区分不同产品份额类别，在同一理财产品登记编码项下设置的内部识别码。</w:t>
      </w:r>
    </w:p>
    <w:p w14:paraId="6DBEF48D">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6.</w:t>
      </w:r>
      <w:r>
        <w:rPr>
          <w:rFonts w:hint="eastAsia" w:ascii="楷体_GB2312" w:hAnsi="宋体" w:eastAsia="楷体_GB2312"/>
          <w:color w:val="000000"/>
          <w:sz w:val="24"/>
          <w:highlight w:val="none"/>
        </w:rPr>
        <w:t>理财产品资产净值/产品资产净值</w:t>
      </w:r>
      <w:r>
        <w:rPr>
          <w:rFonts w:hint="eastAsia" w:ascii="楷体_GB2312" w:hAnsi="宋体" w:eastAsia="楷体_GB2312"/>
          <w:color w:val="000000"/>
          <w:sz w:val="24"/>
          <w:highlight w:val="none"/>
          <w:lang w:val="en-US" w:eastAsia="zh-CN"/>
        </w:rPr>
        <w:t>/净资产</w:t>
      </w:r>
      <w:r>
        <w:rPr>
          <w:rFonts w:hint="eastAsia" w:ascii="楷体_GB2312" w:hAnsi="宋体" w:eastAsia="楷体_GB2312"/>
          <w:color w:val="000000"/>
          <w:sz w:val="24"/>
          <w:highlight w:val="none"/>
        </w:rPr>
        <w:t>：指产品资产总值减去产品负债总值后的净值。产品资产总值是指</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产品拥有的各类有价证券、银行存款、应收款项及其他资产的价值总和。产品负债总值是指</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产品运作及融资时形成的负债价值总和，包括融资资金本息、应付各项费用（包括销售手续费、固定管理费、托管费、超额业绩报酬</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若有</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rPr>
        <w:t>以及其他费用等）、应付税金及其他应付款项等。</w:t>
      </w:r>
    </w:p>
    <w:p w14:paraId="72FA6DF1">
      <w:pPr>
        <w:ind w:firstLine="477" w:firstLineChars="199"/>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7</w:t>
      </w:r>
      <w:r>
        <w:rPr>
          <w:rFonts w:hint="eastAsia" w:ascii="楷体_GB2312" w:hAnsi="宋体" w:eastAsia="楷体_GB2312"/>
          <w:color w:val="000000"/>
          <w:sz w:val="24"/>
          <w:highlight w:val="none"/>
        </w:rPr>
        <w:t>.理财产品单位净值/产品单位净值</w:t>
      </w:r>
      <w:r>
        <w:rPr>
          <w:rFonts w:hint="default" w:ascii="楷体_GB2312" w:hAnsi="宋体" w:eastAsia="楷体_GB2312"/>
          <w:color w:val="000000"/>
          <w:sz w:val="24"/>
          <w:highlight w:val="none"/>
          <w:lang w:val="en-US"/>
        </w:rPr>
        <w:t>/</w:t>
      </w:r>
      <w:r>
        <w:rPr>
          <w:rFonts w:hint="eastAsia" w:ascii="楷体_GB2312" w:hAnsi="宋体" w:eastAsia="楷体_GB2312"/>
          <w:color w:val="000000"/>
          <w:sz w:val="24"/>
          <w:highlight w:val="none"/>
          <w:lang w:val="en-US" w:eastAsia="zh-CN"/>
        </w:rPr>
        <w:t>产品份额净值</w:t>
      </w:r>
      <w:r>
        <w:rPr>
          <w:rFonts w:hint="eastAsia" w:ascii="楷体_GB2312" w:hAnsi="宋体" w:eastAsia="楷体_GB2312"/>
          <w:color w:val="000000"/>
          <w:sz w:val="24"/>
          <w:highlight w:val="none"/>
        </w:rPr>
        <w:t>：指本理财产品份额的单位净值，即每1份理财产品份额以人民币计价的价格。理财产品单位净值=当日产品资产净值/当日产品份额总额，单位净值保留至小数点后六位（舍位法），小数点后第七位及之后数值舍去（不进行四舍五入）。</w:t>
      </w:r>
    </w:p>
    <w:p w14:paraId="0F6A47A2">
      <w:pPr>
        <w:ind w:left="13" w:leftChars="6" w:firstLine="463" w:firstLineChars="193"/>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8</w:t>
      </w:r>
      <w:r>
        <w:rPr>
          <w:rFonts w:hint="eastAsia" w:ascii="楷体_GB2312" w:hAnsi="宋体" w:eastAsia="楷体_GB2312"/>
          <w:color w:val="000000"/>
          <w:sz w:val="24"/>
          <w:highlight w:val="none"/>
        </w:rPr>
        <w:t>.理财产品单位累计净值/产品单位累计净值</w:t>
      </w:r>
      <w:r>
        <w:rPr>
          <w:rFonts w:hint="default" w:ascii="楷体_GB2312" w:hAnsi="宋体" w:eastAsia="楷体_GB2312"/>
          <w:color w:val="000000"/>
          <w:sz w:val="24"/>
          <w:highlight w:val="none"/>
          <w:lang w:val="en-US"/>
        </w:rPr>
        <w:t>/</w:t>
      </w:r>
      <w:r>
        <w:rPr>
          <w:rFonts w:hint="eastAsia" w:ascii="楷体_GB2312" w:hAnsi="宋体" w:eastAsia="楷体_GB2312"/>
          <w:color w:val="000000"/>
          <w:sz w:val="24"/>
          <w:highlight w:val="none"/>
          <w:lang w:val="en-US" w:eastAsia="zh-CN"/>
        </w:rPr>
        <w:t>产品份额累计净值</w:t>
      </w:r>
      <w:r>
        <w:rPr>
          <w:rFonts w:hint="eastAsia" w:ascii="楷体_GB2312" w:hAnsi="宋体" w:eastAsia="楷体_GB2312"/>
          <w:color w:val="000000"/>
          <w:sz w:val="24"/>
          <w:highlight w:val="none"/>
        </w:rPr>
        <w:t>：指</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w:t>
      </w:r>
      <w:r>
        <w:rPr>
          <w:rFonts w:ascii="楷体_GB2312" w:hAnsi="宋体" w:eastAsia="楷体_GB2312"/>
          <w:color w:val="000000"/>
          <w:sz w:val="24"/>
          <w:highlight w:val="none"/>
        </w:rPr>
        <w:t>单位</w:t>
      </w:r>
      <w:r>
        <w:rPr>
          <w:rFonts w:hint="eastAsia" w:ascii="楷体_GB2312" w:hAnsi="宋体" w:eastAsia="楷体_GB2312"/>
          <w:color w:val="000000"/>
          <w:sz w:val="24"/>
          <w:highlight w:val="none"/>
        </w:rPr>
        <w:t>净值</w:t>
      </w:r>
      <w:r>
        <w:rPr>
          <w:rFonts w:ascii="楷体_GB2312" w:hAnsi="宋体" w:eastAsia="楷体_GB2312"/>
          <w:color w:val="000000"/>
          <w:sz w:val="24"/>
          <w:highlight w:val="none"/>
        </w:rPr>
        <w:t>累加每</w:t>
      </w:r>
      <w:r>
        <w:rPr>
          <w:rFonts w:hint="eastAsia" w:ascii="楷体_GB2312" w:hAnsi="宋体" w:eastAsia="楷体_GB2312"/>
          <w:color w:val="000000"/>
          <w:sz w:val="24"/>
          <w:highlight w:val="none"/>
        </w:rPr>
        <w:t>1份理财产品份额自</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产品成立以来的分红除权的金额（若有）所得的每1份理财产品份额价值。</w:t>
      </w:r>
    </w:p>
    <w:p w14:paraId="4F20E692">
      <w:pPr>
        <w:ind w:left="13" w:leftChars="6" w:firstLine="465" w:firstLineChars="193"/>
        <w:rPr>
          <w:rFonts w:ascii="楷体_GB2312" w:hAnsi="宋体" w:eastAsia="楷体_GB2312"/>
          <w:color w:val="000000"/>
          <w:sz w:val="24"/>
          <w:highlight w:val="none"/>
        </w:rPr>
      </w:pPr>
      <w:r>
        <w:rPr>
          <w:rFonts w:hint="eastAsia" w:ascii="楷体_GB2312" w:hAnsi="宋体" w:eastAsia="楷体_GB2312"/>
          <w:b/>
          <w:bCs/>
          <w:color w:val="000000"/>
          <w:sz w:val="24"/>
          <w:highlight w:val="none"/>
          <w:lang w:val="en-US" w:eastAsia="zh-CN"/>
        </w:rPr>
        <w:t>9</w:t>
      </w:r>
      <w:r>
        <w:rPr>
          <w:rFonts w:hint="eastAsia" w:ascii="楷体_GB2312" w:hAnsi="宋体" w:eastAsia="楷体_GB2312"/>
          <w:b/>
          <w:bCs/>
          <w:color w:val="000000"/>
          <w:sz w:val="24"/>
          <w:highlight w:val="none"/>
        </w:rPr>
        <w:t>.业绩比较基准：</w:t>
      </w:r>
      <w:r>
        <w:rPr>
          <w:rFonts w:hint="eastAsia" w:ascii="楷体_GB2312" w:hAnsi="宋体" w:eastAsia="楷体_GB2312"/>
          <w:color w:val="000000"/>
          <w:sz w:val="24"/>
          <w:highlight w:val="none"/>
        </w:rPr>
        <w:t>指</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管理人基于</w:t>
      </w:r>
      <w:r>
        <w:rPr>
          <w:rFonts w:hint="eastAsia" w:ascii="楷体_GB2312" w:hAnsi="宋体" w:eastAsia="楷体_GB2312"/>
          <w:color w:val="000000"/>
          <w:sz w:val="24"/>
          <w:highlight w:val="none"/>
          <w:lang w:val="en-US" w:eastAsia="zh-CN"/>
        </w:rPr>
        <w:t>产品性质、投资策略、</w:t>
      </w:r>
      <w:r>
        <w:rPr>
          <w:rFonts w:hint="eastAsia" w:ascii="楷体_GB2312" w:hAnsi="宋体" w:eastAsia="楷体_GB2312"/>
          <w:color w:val="000000"/>
          <w:sz w:val="24"/>
          <w:highlight w:val="none"/>
        </w:rPr>
        <w:t>过往投资经验及对产品存续期投资市场波动的预判而对本</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产品所设定的投资目标。</w:t>
      </w:r>
      <w:r>
        <w:rPr>
          <w:rFonts w:hint="eastAsia" w:ascii="楷体_GB2312" w:hAnsi="宋体" w:eastAsia="楷体_GB2312"/>
          <w:b/>
          <w:bCs/>
          <w:color w:val="000000"/>
          <w:sz w:val="24"/>
          <w:highlight w:val="none"/>
        </w:rPr>
        <w:t>业绩比较基准</w:t>
      </w:r>
      <w:r>
        <w:rPr>
          <w:rFonts w:hint="eastAsia" w:ascii="楷体_GB2312" w:hAnsi="宋体" w:eastAsia="楷体_GB2312"/>
          <w:b/>
          <w:bCs/>
          <w:color w:val="000000"/>
          <w:sz w:val="24"/>
          <w:highlight w:val="none"/>
          <w:lang w:val="en-US" w:eastAsia="zh-CN"/>
        </w:rPr>
        <w:t>不是预期收益率，</w:t>
      </w:r>
      <w:r>
        <w:rPr>
          <w:rFonts w:hint="eastAsia" w:ascii="楷体_GB2312" w:hAnsi="宋体" w:eastAsia="楷体_GB2312"/>
          <w:b/>
          <w:bCs/>
          <w:color w:val="000000"/>
          <w:sz w:val="24"/>
          <w:highlight w:val="none"/>
        </w:rPr>
        <w:t>不代表本</w:t>
      </w:r>
      <w:r>
        <w:rPr>
          <w:rFonts w:hint="eastAsia" w:ascii="楷体_GB2312" w:hAnsi="宋体" w:eastAsia="楷体_GB2312"/>
          <w:b/>
          <w:bCs/>
          <w:color w:val="000000"/>
          <w:sz w:val="24"/>
          <w:highlight w:val="none"/>
          <w:lang w:val="en-US" w:eastAsia="zh-CN"/>
        </w:rPr>
        <w:t>理财</w:t>
      </w:r>
      <w:r>
        <w:rPr>
          <w:rFonts w:hint="eastAsia" w:ascii="楷体_GB2312" w:hAnsi="宋体" w:eastAsia="楷体_GB2312"/>
          <w:b/>
          <w:bCs/>
          <w:color w:val="000000"/>
          <w:sz w:val="24"/>
          <w:highlight w:val="none"/>
        </w:rPr>
        <w:t>产品的未来表现和实际收益，不</w:t>
      </w:r>
      <w:r>
        <w:rPr>
          <w:rFonts w:hint="eastAsia" w:ascii="楷体_GB2312" w:hAnsi="宋体" w:eastAsia="楷体_GB2312"/>
          <w:b/>
          <w:bCs/>
          <w:color w:val="000000"/>
          <w:sz w:val="24"/>
          <w:highlight w:val="none"/>
          <w:lang w:val="en-US" w:eastAsia="zh-CN"/>
        </w:rPr>
        <w:t>构成产品</w:t>
      </w:r>
      <w:r>
        <w:rPr>
          <w:rFonts w:hint="eastAsia" w:ascii="楷体_GB2312" w:hAnsi="宋体" w:eastAsia="楷体_GB2312"/>
          <w:b/>
          <w:bCs/>
          <w:color w:val="000000"/>
          <w:sz w:val="24"/>
          <w:highlight w:val="none"/>
        </w:rPr>
        <w:t>管理人对本</w:t>
      </w:r>
      <w:r>
        <w:rPr>
          <w:rFonts w:hint="eastAsia" w:ascii="楷体_GB2312" w:hAnsi="宋体" w:eastAsia="楷体_GB2312"/>
          <w:b/>
          <w:bCs/>
          <w:color w:val="000000"/>
          <w:sz w:val="24"/>
          <w:highlight w:val="none"/>
          <w:lang w:val="en-US" w:eastAsia="zh-CN"/>
        </w:rPr>
        <w:t>理财</w:t>
      </w:r>
      <w:r>
        <w:rPr>
          <w:rFonts w:hint="eastAsia" w:ascii="楷体_GB2312" w:hAnsi="宋体" w:eastAsia="楷体_GB2312"/>
          <w:b/>
          <w:bCs/>
          <w:color w:val="000000"/>
          <w:sz w:val="24"/>
          <w:highlight w:val="none"/>
        </w:rPr>
        <w:t>产品进行的收益承诺，投资须谨慎。</w:t>
      </w:r>
    </w:p>
    <w:p w14:paraId="04B03E46">
      <w:pPr>
        <w:ind w:left="13" w:leftChars="6" w:firstLine="463" w:firstLineChars="193"/>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10</w:t>
      </w:r>
      <w:r>
        <w:rPr>
          <w:rFonts w:hint="eastAsia" w:ascii="楷体_GB2312" w:hAnsi="宋体" w:eastAsia="楷体_GB2312"/>
          <w:color w:val="000000"/>
          <w:sz w:val="24"/>
          <w:highlight w:val="none"/>
        </w:rPr>
        <w:t>.理财产品估值：指计算评估</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理财产品资产以确定</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理财产品单位净值的过程。</w:t>
      </w:r>
    </w:p>
    <w:p w14:paraId="14906332">
      <w:pPr>
        <w:ind w:left="479" w:leftChars="228"/>
        <w:rPr>
          <w:rFonts w:ascii="楷体_GB2312" w:hAnsi="宋体" w:eastAsia="楷体_GB2312"/>
          <w:color w:val="000000"/>
          <w:sz w:val="24"/>
          <w:highlight w:val="none"/>
        </w:rPr>
      </w:pPr>
      <w:r>
        <w:rPr>
          <w:rFonts w:ascii="楷体_GB2312" w:hAnsi="宋体" w:eastAsia="楷体_GB2312"/>
          <w:color w:val="000000"/>
          <w:sz w:val="24"/>
          <w:highlight w:val="none"/>
        </w:rPr>
        <w:t>1</w:t>
      </w:r>
      <w:r>
        <w:rPr>
          <w:rFonts w:hint="eastAsia" w:ascii="楷体_GB2312" w:hAnsi="宋体" w:eastAsia="楷体_GB2312"/>
          <w:color w:val="000000"/>
          <w:sz w:val="24"/>
          <w:highlight w:val="none"/>
          <w:lang w:val="en-US" w:eastAsia="zh-CN"/>
        </w:rPr>
        <w:t>1</w:t>
      </w:r>
      <w:r>
        <w:rPr>
          <w:rFonts w:hint="eastAsia" w:ascii="楷体_GB2312" w:hAnsi="宋体" w:eastAsia="楷体_GB2312"/>
          <w:color w:val="000000"/>
          <w:sz w:val="24"/>
          <w:highlight w:val="none"/>
        </w:rPr>
        <w:t>.认购：指投资者在</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理财产品募集期内购买</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理财产品份额的行为。</w:t>
      </w:r>
    </w:p>
    <w:p w14:paraId="1E7703DC">
      <w:pPr>
        <w:ind w:firstLine="477" w:firstLineChars="199"/>
        <w:rPr>
          <w:rFonts w:ascii="楷体_GB2312" w:hAnsi="宋体" w:eastAsia="楷体_GB2312"/>
          <w:color w:val="auto"/>
          <w:sz w:val="24"/>
          <w:highlight w:val="none"/>
        </w:rPr>
      </w:pPr>
      <w:r>
        <w:rPr>
          <w:rFonts w:ascii="楷体_GB2312" w:hAnsi="宋体" w:eastAsia="楷体_GB2312"/>
          <w:color w:val="auto"/>
          <w:sz w:val="24"/>
          <w:highlight w:val="none"/>
        </w:rPr>
        <w:t>1</w:t>
      </w:r>
      <w:r>
        <w:rPr>
          <w:rFonts w:hint="eastAsia" w:ascii="楷体_GB2312" w:hAnsi="宋体" w:eastAsia="楷体_GB2312"/>
          <w:color w:val="auto"/>
          <w:sz w:val="24"/>
          <w:highlight w:val="none"/>
          <w:lang w:val="en-US" w:eastAsia="zh-CN"/>
        </w:rPr>
        <w:t>2</w:t>
      </w:r>
      <w:r>
        <w:rPr>
          <w:rFonts w:hint="eastAsia" w:ascii="楷体_GB2312" w:hAnsi="宋体" w:eastAsia="楷体_GB2312"/>
          <w:color w:val="auto"/>
          <w:sz w:val="24"/>
          <w:highlight w:val="none"/>
        </w:rPr>
        <w:t>.申购：</w:t>
      </w:r>
      <w:r>
        <w:rPr>
          <w:rFonts w:eastAsia="楷体_GB2312"/>
          <w:color w:val="auto"/>
          <w:sz w:val="24"/>
          <w:highlight w:val="none"/>
        </w:rPr>
        <w:t>指投资者在</w:t>
      </w:r>
      <w:r>
        <w:rPr>
          <w:rFonts w:hint="eastAsia" w:ascii="楷体_GB2312" w:hAnsi="宋体" w:eastAsia="楷体_GB2312"/>
          <w:color w:val="auto"/>
          <w:sz w:val="24"/>
          <w:highlight w:val="none"/>
          <w:lang w:val="en-US" w:eastAsia="zh-CN"/>
        </w:rPr>
        <w:t>本</w:t>
      </w:r>
      <w:r>
        <w:rPr>
          <w:rFonts w:eastAsia="楷体_GB2312"/>
          <w:color w:val="auto"/>
          <w:sz w:val="24"/>
          <w:highlight w:val="none"/>
        </w:rPr>
        <w:t>理财产品开放</w:t>
      </w:r>
      <w:r>
        <w:rPr>
          <w:rFonts w:hint="eastAsia" w:eastAsia="楷体_GB2312"/>
          <w:color w:val="auto"/>
          <w:sz w:val="24"/>
          <w:highlight w:val="none"/>
          <w:lang w:val="en-US" w:eastAsia="zh-CN"/>
        </w:rPr>
        <w:t>日</w:t>
      </w:r>
      <w:r>
        <w:rPr>
          <w:rFonts w:eastAsia="楷体_GB2312"/>
          <w:color w:val="auto"/>
          <w:sz w:val="24"/>
          <w:highlight w:val="none"/>
        </w:rPr>
        <w:t>内</w:t>
      </w:r>
      <w:r>
        <w:rPr>
          <w:rFonts w:ascii="楷体_GB2312" w:hAnsi="宋体" w:eastAsia="楷体_GB2312"/>
          <w:color w:val="auto"/>
          <w:sz w:val="24"/>
          <w:highlight w:val="none"/>
        </w:rPr>
        <w:t>申请购买</w:t>
      </w:r>
      <w:r>
        <w:rPr>
          <w:rFonts w:hint="eastAsia" w:ascii="楷体_GB2312" w:hAnsi="宋体" w:eastAsia="楷体_GB2312"/>
          <w:color w:val="auto"/>
          <w:sz w:val="24"/>
          <w:highlight w:val="none"/>
          <w:lang w:val="en-US" w:eastAsia="zh-CN"/>
        </w:rPr>
        <w:t>本</w:t>
      </w:r>
      <w:r>
        <w:rPr>
          <w:rFonts w:ascii="楷体_GB2312" w:hAnsi="宋体" w:eastAsia="楷体_GB2312"/>
          <w:color w:val="auto"/>
          <w:sz w:val="24"/>
          <w:highlight w:val="none"/>
        </w:rPr>
        <w:t>理财产品份额的行为。</w:t>
      </w:r>
    </w:p>
    <w:p w14:paraId="0F3E5E7D">
      <w:pPr>
        <w:ind w:firstLine="480" w:firstLineChars="200"/>
        <w:rPr>
          <w:rFonts w:ascii="楷体_GB2312" w:hAnsi="宋体" w:eastAsia="楷体_GB2312"/>
          <w:color w:val="auto"/>
          <w:sz w:val="24"/>
          <w:highlight w:val="none"/>
        </w:rPr>
      </w:pPr>
      <w:r>
        <w:rPr>
          <w:rFonts w:hint="eastAsia" w:ascii="楷体_GB2312" w:hAnsi="宋体" w:eastAsia="楷体_GB2312"/>
          <w:color w:val="auto"/>
          <w:sz w:val="24"/>
          <w:highlight w:val="none"/>
          <w:lang w:val="en-US" w:eastAsia="zh-CN"/>
        </w:rPr>
        <w:t>13</w:t>
      </w:r>
      <w:r>
        <w:rPr>
          <w:rFonts w:hint="eastAsia" w:ascii="楷体_GB2312" w:hAnsi="宋体" w:eastAsia="楷体_GB2312"/>
          <w:color w:val="auto"/>
          <w:sz w:val="24"/>
          <w:highlight w:val="none"/>
        </w:rPr>
        <w:t>.赎回：</w:t>
      </w:r>
      <w:r>
        <w:rPr>
          <w:rFonts w:ascii="楷体_GB2312" w:hAnsi="宋体" w:eastAsia="楷体_GB2312"/>
          <w:color w:val="auto"/>
          <w:sz w:val="24"/>
          <w:highlight w:val="none"/>
        </w:rPr>
        <w:t>指投资者在</w:t>
      </w:r>
      <w:r>
        <w:rPr>
          <w:rFonts w:hint="eastAsia" w:ascii="楷体_GB2312" w:hAnsi="宋体" w:eastAsia="楷体_GB2312"/>
          <w:color w:val="auto"/>
          <w:sz w:val="24"/>
          <w:highlight w:val="none"/>
          <w:lang w:val="en-US" w:eastAsia="zh-CN"/>
        </w:rPr>
        <w:t>本</w:t>
      </w:r>
      <w:r>
        <w:rPr>
          <w:rFonts w:ascii="楷体_GB2312" w:hAnsi="宋体" w:eastAsia="楷体_GB2312"/>
          <w:color w:val="auto"/>
          <w:sz w:val="24"/>
          <w:highlight w:val="none"/>
        </w:rPr>
        <w:t>理财产品开放</w:t>
      </w:r>
      <w:r>
        <w:rPr>
          <w:rFonts w:hint="eastAsia" w:ascii="楷体_GB2312" w:hAnsi="宋体" w:eastAsia="楷体_GB2312"/>
          <w:color w:val="auto"/>
          <w:sz w:val="24"/>
          <w:highlight w:val="none"/>
          <w:lang w:val="en-US" w:eastAsia="zh-CN"/>
        </w:rPr>
        <w:t>日</w:t>
      </w:r>
      <w:r>
        <w:rPr>
          <w:rFonts w:ascii="楷体_GB2312" w:hAnsi="宋体" w:eastAsia="楷体_GB2312"/>
          <w:color w:val="auto"/>
          <w:sz w:val="24"/>
          <w:highlight w:val="none"/>
        </w:rPr>
        <w:t>内申请卖出</w:t>
      </w:r>
      <w:r>
        <w:rPr>
          <w:rFonts w:hint="eastAsia" w:ascii="楷体_GB2312" w:hAnsi="宋体" w:eastAsia="楷体_GB2312"/>
          <w:color w:val="auto"/>
          <w:sz w:val="24"/>
          <w:highlight w:val="none"/>
          <w:lang w:val="en-US" w:eastAsia="zh-CN"/>
        </w:rPr>
        <w:t>本</w:t>
      </w:r>
      <w:r>
        <w:rPr>
          <w:rFonts w:ascii="楷体_GB2312" w:hAnsi="宋体" w:eastAsia="楷体_GB2312"/>
          <w:color w:val="auto"/>
          <w:sz w:val="24"/>
          <w:highlight w:val="none"/>
        </w:rPr>
        <w:t>理财产品份额的行为。</w:t>
      </w:r>
    </w:p>
    <w:p w14:paraId="0833362F">
      <w:pPr>
        <w:ind w:firstLine="480" w:firstLineChars="20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rPr>
        <w:t>1</w:t>
      </w:r>
      <w:r>
        <w:rPr>
          <w:rFonts w:hint="eastAsia" w:ascii="楷体_GB2312" w:hAnsi="宋体" w:eastAsia="楷体_GB2312"/>
          <w:color w:val="000000"/>
          <w:sz w:val="24"/>
          <w:highlight w:val="none"/>
          <w:lang w:val="en-US" w:eastAsia="zh-CN"/>
        </w:rPr>
        <w:t>4</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 xml:space="preserve">流动性受限资产：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 </w:t>
      </w:r>
    </w:p>
    <w:p w14:paraId="7A17DA56">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四</w:t>
      </w:r>
      <w:r>
        <w:rPr>
          <w:rFonts w:hint="eastAsia" w:ascii="楷体_GB2312" w:hAnsi="宋体" w:eastAsia="楷体_GB2312"/>
          <w:color w:val="000000"/>
          <w:sz w:val="24"/>
          <w:highlight w:val="none"/>
        </w:rPr>
        <w:t>）期间与日期：</w:t>
      </w:r>
    </w:p>
    <w:p w14:paraId="376A2C5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1.工作日：指银行对外办理一般对公业务的任何一天，不包括法定节假日和周六、周日（但包括国家临时规定应当工作的周六和周日)。</w:t>
      </w:r>
    </w:p>
    <w:p w14:paraId="440DC3F9">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2.证券交易所交易日/交易日：指上海证券交易所、深圳证券交易所和</w:t>
      </w:r>
      <w:r>
        <w:rPr>
          <w:rFonts w:ascii="楷体_GB2312" w:hAnsi="宋体" w:eastAsia="楷体_GB2312"/>
          <w:color w:val="000000"/>
          <w:sz w:val="24"/>
          <w:highlight w:val="none"/>
        </w:rPr>
        <w:t>北京证券交易所</w:t>
      </w:r>
      <w:r>
        <w:rPr>
          <w:rFonts w:hint="eastAsia" w:ascii="楷体_GB2312" w:hAnsi="宋体" w:eastAsia="楷体_GB2312"/>
          <w:color w:val="000000"/>
          <w:sz w:val="24"/>
          <w:highlight w:val="none"/>
        </w:rPr>
        <w:t>的</w:t>
      </w:r>
      <w:r>
        <w:rPr>
          <w:rFonts w:ascii="楷体_GB2312" w:hAnsi="宋体" w:eastAsia="楷体_GB2312"/>
          <w:color w:val="000000"/>
          <w:sz w:val="24"/>
          <w:highlight w:val="none"/>
        </w:rPr>
        <w:t>正常开盘交易日</w:t>
      </w:r>
      <w:r>
        <w:rPr>
          <w:rFonts w:hint="eastAsia" w:ascii="楷体_GB2312" w:hAnsi="宋体" w:eastAsia="楷体_GB2312"/>
          <w:color w:val="000000"/>
          <w:sz w:val="24"/>
          <w:highlight w:val="none"/>
        </w:rPr>
        <w:t>。</w:t>
      </w:r>
    </w:p>
    <w:p w14:paraId="3E96AB4D">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3.募集期：指</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理财产品成立前，</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接受</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理财产品认购的时间。</w:t>
      </w:r>
    </w:p>
    <w:p w14:paraId="3512AE2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4.成立日：指</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理财产品募集期结束后满足合同生效条件，正式进入</w:t>
      </w:r>
      <w:r>
        <w:rPr>
          <w:rFonts w:hint="eastAsia" w:ascii="楷体_GB2312" w:hAnsi="宋体" w:eastAsia="楷体_GB2312"/>
          <w:color w:val="000000"/>
          <w:sz w:val="24"/>
          <w:highlight w:val="none"/>
          <w:lang w:val="en-US" w:eastAsia="zh-CN"/>
        </w:rPr>
        <w:t>本理财产品</w:t>
      </w:r>
      <w:r>
        <w:rPr>
          <w:rFonts w:hint="eastAsia" w:ascii="楷体_GB2312" w:hAnsi="宋体" w:eastAsia="楷体_GB2312"/>
          <w:color w:val="000000"/>
          <w:sz w:val="24"/>
          <w:highlight w:val="none"/>
        </w:rPr>
        <w:t>存续期的起始日。</w:t>
      </w:r>
    </w:p>
    <w:p w14:paraId="1EC212BB">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5.产品存续期</w:t>
      </w:r>
      <w:r>
        <w:rPr>
          <w:rFonts w:hint="eastAsia" w:ascii="楷体_GB2312" w:hAnsi="宋体" w:eastAsia="楷体_GB2312"/>
          <w:color w:val="000000"/>
          <w:sz w:val="24"/>
          <w:highlight w:val="none"/>
          <w:lang w:val="en-US" w:eastAsia="zh-CN"/>
        </w:rPr>
        <w:t>/存续期</w:t>
      </w:r>
      <w:r>
        <w:rPr>
          <w:rFonts w:hint="eastAsia" w:ascii="楷体_GB2312" w:hAnsi="宋体" w:eastAsia="楷体_GB2312"/>
          <w:color w:val="000000"/>
          <w:sz w:val="24"/>
          <w:highlight w:val="none"/>
        </w:rPr>
        <w:t>：指自</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理财产品成立日起，至</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w:t>
      </w:r>
      <w:r>
        <w:rPr>
          <w:rFonts w:hint="eastAsia" w:ascii="楷体_GB2312" w:hAnsi="宋体" w:eastAsia="楷体_GB2312"/>
          <w:color w:val="000000"/>
          <w:sz w:val="24"/>
          <w:highlight w:val="none"/>
          <w:lang w:val="en-US" w:eastAsia="zh-CN"/>
        </w:rPr>
        <w:t>到期日/</w:t>
      </w:r>
      <w:r>
        <w:rPr>
          <w:rFonts w:hint="eastAsia" w:ascii="楷体_GB2312" w:hAnsi="宋体" w:eastAsia="楷体_GB2312"/>
          <w:color w:val="000000"/>
          <w:sz w:val="24"/>
          <w:highlight w:val="none"/>
        </w:rPr>
        <w:t>终止日的期间。</w:t>
      </w:r>
    </w:p>
    <w:p w14:paraId="6C126B01">
      <w:pPr>
        <w:ind w:firstLine="480" w:firstLineChars="200"/>
        <w:rPr>
          <w:rFonts w:hint="eastAsia" w:ascii="楷体_GB2312" w:hAnsi="宋体" w:eastAsia="楷体_GB2312" w:cs="Times New Roman"/>
          <w:color w:val="000000"/>
          <w:sz w:val="24"/>
          <w:highlight w:val="none"/>
          <w:u w:val="none"/>
          <w:lang w:val="en-US" w:eastAsia="zh-CN"/>
        </w:rPr>
      </w:pPr>
      <w:r>
        <w:rPr>
          <w:rFonts w:hint="eastAsia" w:ascii="楷体_GB2312" w:hAnsi="宋体" w:eastAsia="楷体_GB2312" w:cs="Times New Roman"/>
          <w:color w:val="000000"/>
          <w:sz w:val="24"/>
          <w:highlight w:val="none"/>
          <w:u w:val="none"/>
          <w:lang w:val="en-US" w:eastAsia="zh-CN"/>
        </w:rPr>
        <w:t>6</w:t>
      </w:r>
      <w:r>
        <w:rPr>
          <w:rFonts w:hint="default" w:ascii="楷体_GB2312" w:hAnsi="宋体" w:eastAsia="楷体_GB2312" w:cs="Times New Roman"/>
          <w:color w:val="000000"/>
          <w:sz w:val="24"/>
          <w:highlight w:val="none"/>
          <w:u w:val="none"/>
          <w:lang w:val="en-US" w:eastAsia="zh-CN"/>
        </w:rPr>
        <w:t>.</w:t>
      </w:r>
      <w:r>
        <w:rPr>
          <w:rFonts w:hint="eastAsia" w:ascii="楷体_GB2312" w:hAnsi="宋体" w:eastAsia="楷体_GB2312"/>
          <w:color w:val="000000"/>
          <w:sz w:val="24"/>
          <w:highlight w:val="none"/>
          <w:lang w:val="en-US" w:eastAsia="zh-CN"/>
        </w:rPr>
        <w:t>到期日/</w:t>
      </w:r>
      <w:r>
        <w:rPr>
          <w:rFonts w:hint="eastAsia" w:ascii="楷体_GB2312" w:hAnsi="宋体" w:eastAsia="楷体_GB2312" w:cs="Times New Roman"/>
          <w:color w:val="000000"/>
          <w:sz w:val="24"/>
          <w:highlight w:val="none"/>
          <w:u w:val="none"/>
          <w:lang w:val="en-US" w:eastAsia="zh-CN"/>
        </w:rPr>
        <w:t>终止日：</w:t>
      </w:r>
      <w:r>
        <w:rPr>
          <w:rFonts w:eastAsia="楷体_GB2312"/>
          <w:color w:val="000000"/>
          <w:sz w:val="24"/>
          <w:highlight w:val="none"/>
        </w:rPr>
        <w:t>指</w:t>
      </w:r>
      <w:r>
        <w:rPr>
          <w:rFonts w:hint="eastAsia" w:ascii="楷体_GB2312" w:hAnsi="宋体" w:eastAsia="楷体_GB2312"/>
          <w:color w:val="auto"/>
          <w:sz w:val="24"/>
          <w:highlight w:val="none"/>
          <w:lang w:val="en-US" w:eastAsia="zh-CN"/>
        </w:rPr>
        <w:t>2026年10月20日（</w:t>
      </w:r>
      <w:r>
        <w:rPr>
          <w:rFonts w:hint="eastAsia" w:ascii="楷体_GB2312" w:eastAsia="楷体_GB2312"/>
          <w:color w:val="auto"/>
          <w:sz w:val="24"/>
          <w:highlight w:val="none"/>
        </w:rPr>
        <w:t>如为</w:t>
      </w:r>
      <w:r>
        <w:rPr>
          <w:rFonts w:hint="eastAsia" w:ascii="楷体_GB2312" w:eastAsia="楷体_GB2312"/>
          <w:color w:val="auto"/>
          <w:sz w:val="24"/>
          <w:highlight w:val="none"/>
          <w:lang w:val="en-US" w:eastAsia="zh-CN"/>
        </w:rPr>
        <w:t>节假日</w:t>
      </w:r>
      <w:r>
        <w:rPr>
          <w:rFonts w:hint="eastAsia" w:ascii="楷体_GB2312" w:eastAsia="楷体_GB2312"/>
          <w:color w:val="auto"/>
          <w:sz w:val="24"/>
          <w:highlight w:val="none"/>
        </w:rPr>
        <w:t>则相应顺延至下一个</w:t>
      </w:r>
      <w:r>
        <w:rPr>
          <w:rFonts w:hint="eastAsia" w:ascii="楷体_GB2312" w:eastAsia="楷体_GB2312"/>
          <w:color w:val="auto"/>
          <w:sz w:val="24"/>
          <w:highlight w:val="none"/>
          <w:lang w:val="en-US" w:eastAsia="zh-CN"/>
        </w:rPr>
        <w:t>工作</w:t>
      </w:r>
      <w:r>
        <w:rPr>
          <w:rFonts w:hint="eastAsia" w:ascii="楷体_GB2312" w:eastAsia="楷体_GB2312"/>
          <w:color w:val="auto"/>
          <w:sz w:val="24"/>
          <w:highlight w:val="none"/>
        </w:rPr>
        <w:t>日</w:t>
      </w:r>
      <w:r>
        <w:rPr>
          <w:rFonts w:hint="eastAsia" w:ascii="楷体_GB2312" w:hAnsi="宋体" w:eastAsia="楷体_GB2312"/>
          <w:color w:val="auto"/>
          <w:sz w:val="24"/>
          <w:highlight w:val="none"/>
          <w:lang w:val="en-US" w:eastAsia="zh-CN"/>
        </w:rPr>
        <w:t>）</w:t>
      </w:r>
      <w:r>
        <w:rPr>
          <w:rFonts w:hint="eastAsia" w:eastAsia="楷体_GB2312"/>
          <w:color w:val="000000"/>
          <w:sz w:val="24"/>
          <w:highlight w:val="none"/>
          <w:lang w:val="en-US" w:eastAsia="zh-CN"/>
        </w:rPr>
        <w:t>，</w:t>
      </w:r>
      <w:r>
        <w:rPr>
          <w:rFonts w:hint="eastAsia" w:eastAsia="楷体_GB2312"/>
          <w:color w:val="000000"/>
          <w:sz w:val="24"/>
          <w:highlight w:val="none"/>
        </w:rPr>
        <w:t>或</w:t>
      </w:r>
      <w:r>
        <w:rPr>
          <w:rFonts w:hint="eastAsia" w:ascii="楷体_GB2312" w:hAnsi="宋体" w:eastAsia="楷体_GB2312" w:cs="Times New Roman"/>
          <w:color w:val="000000"/>
          <w:sz w:val="24"/>
          <w:highlight w:val="none"/>
          <w:u w:val="none"/>
          <w:lang w:val="en-US" w:eastAsia="zh-CN"/>
        </w:rPr>
        <w:t>发生本《理财产品说明书》“</w:t>
      </w:r>
      <w:r>
        <w:rPr>
          <w:rFonts w:hint="eastAsia" w:ascii="楷体_GB2312" w:hAnsi="宋体" w:eastAsia="楷体_GB2312"/>
          <w:b w:val="0"/>
          <w:bCs/>
          <w:color w:val="000000"/>
          <w:sz w:val="24"/>
          <w:highlight w:val="none"/>
        </w:rPr>
        <w:t>七、产品的终止与清算</w:t>
      </w:r>
      <w:r>
        <w:rPr>
          <w:rFonts w:hint="eastAsia" w:ascii="楷体_GB2312" w:hAnsi="宋体" w:eastAsia="楷体_GB2312" w:cs="Times New Roman"/>
          <w:color w:val="000000"/>
          <w:sz w:val="24"/>
          <w:highlight w:val="none"/>
          <w:u w:val="none"/>
          <w:lang w:val="en-US" w:eastAsia="zh-CN"/>
        </w:rPr>
        <w:t>”中“</w:t>
      </w:r>
      <w:r>
        <w:rPr>
          <w:rFonts w:hint="eastAsia" w:ascii="楷体_GB2312" w:hAnsi="宋体" w:eastAsia="楷体_GB2312"/>
          <w:color w:val="000000"/>
          <w:sz w:val="24"/>
          <w:highlight w:val="none"/>
        </w:rPr>
        <w:t>（一）产品的</w:t>
      </w:r>
      <w:r>
        <w:rPr>
          <w:rFonts w:hint="eastAsia" w:ascii="楷体_GB2312" w:hAnsi="宋体" w:eastAsia="楷体_GB2312"/>
          <w:color w:val="000000"/>
          <w:sz w:val="24"/>
          <w:highlight w:val="none"/>
          <w:lang w:val="en-US" w:eastAsia="zh-CN"/>
        </w:rPr>
        <w:t>提前</w:t>
      </w:r>
      <w:r>
        <w:rPr>
          <w:rFonts w:hint="eastAsia" w:ascii="楷体_GB2312" w:hAnsi="宋体" w:eastAsia="楷体_GB2312"/>
          <w:color w:val="000000"/>
          <w:sz w:val="24"/>
          <w:highlight w:val="none"/>
        </w:rPr>
        <w:t>终止</w:t>
      </w:r>
      <w:r>
        <w:rPr>
          <w:rFonts w:hint="eastAsia" w:ascii="楷体_GB2312" w:hAnsi="宋体" w:eastAsia="楷体_GB2312" w:cs="Times New Roman"/>
          <w:color w:val="000000"/>
          <w:sz w:val="24"/>
          <w:highlight w:val="none"/>
          <w:u w:val="none"/>
          <w:lang w:val="en-US" w:eastAsia="zh-CN"/>
        </w:rPr>
        <w:t>”约定的情况时，</w:t>
      </w:r>
      <w:r>
        <w:rPr>
          <w:rFonts w:hint="eastAsia" w:ascii="楷体_GB2312" w:hAnsi="宋体" w:eastAsia="楷体_GB2312"/>
          <w:color w:val="000000"/>
          <w:sz w:val="24"/>
          <w:highlight w:val="none"/>
        </w:rPr>
        <w:t>产品管理人</w:t>
      </w:r>
      <w:r>
        <w:rPr>
          <w:rFonts w:hint="eastAsia" w:ascii="楷体_GB2312" w:hAnsi="宋体" w:eastAsia="楷体_GB2312"/>
          <w:color w:val="000000"/>
          <w:sz w:val="24"/>
          <w:highlight w:val="none"/>
          <w:lang w:val="en-US" w:eastAsia="zh-CN"/>
        </w:rPr>
        <w:t>提前</w:t>
      </w:r>
      <w:r>
        <w:rPr>
          <w:rFonts w:hint="eastAsia" w:ascii="楷体_GB2312" w:hAnsi="宋体" w:eastAsia="楷体_GB2312"/>
          <w:color w:val="000000"/>
          <w:sz w:val="24"/>
          <w:highlight w:val="none"/>
        </w:rPr>
        <w:t>终止本理财产品</w:t>
      </w:r>
      <w:r>
        <w:rPr>
          <w:rFonts w:eastAsia="楷体_GB2312"/>
          <w:color w:val="000000"/>
          <w:sz w:val="24"/>
          <w:highlight w:val="none"/>
        </w:rPr>
        <w:t>时公告的本理财产品</w:t>
      </w:r>
      <w:r>
        <w:rPr>
          <w:rFonts w:hint="eastAsia" w:eastAsia="楷体_GB2312"/>
          <w:color w:val="000000"/>
          <w:sz w:val="24"/>
          <w:highlight w:val="none"/>
          <w:lang w:val="en-US" w:eastAsia="zh-CN"/>
        </w:rPr>
        <w:t>提前</w:t>
      </w:r>
      <w:r>
        <w:rPr>
          <w:rFonts w:eastAsia="楷体_GB2312"/>
          <w:color w:val="000000"/>
          <w:sz w:val="24"/>
          <w:highlight w:val="none"/>
        </w:rPr>
        <w:t>终止日</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rPr>
        <w:t>产品管理人</w:t>
      </w:r>
      <w:r>
        <w:rPr>
          <w:rFonts w:hint="eastAsia" w:ascii="楷体_GB2312" w:hAnsi="宋体" w:eastAsia="楷体_GB2312"/>
          <w:color w:val="000000"/>
          <w:sz w:val="24"/>
          <w:highlight w:val="none"/>
          <w:lang w:val="en-US" w:eastAsia="zh-CN"/>
        </w:rPr>
        <w:t>提前</w:t>
      </w:r>
      <w:r>
        <w:rPr>
          <w:rFonts w:hint="eastAsia" w:ascii="楷体_GB2312" w:hAnsi="宋体" w:eastAsia="楷体_GB2312"/>
          <w:color w:val="000000"/>
          <w:sz w:val="24"/>
          <w:highlight w:val="none"/>
        </w:rPr>
        <w:t>终止本理财产品的，</w:t>
      </w:r>
      <w:r>
        <w:rPr>
          <w:rFonts w:hint="eastAsia" w:ascii="楷体_GB2312" w:hAnsi="宋体" w:eastAsia="楷体_GB2312"/>
          <w:color w:val="000000"/>
          <w:sz w:val="24"/>
          <w:highlight w:val="none"/>
          <w:lang w:val="en-US" w:eastAsia="zh-CN"/>
        </w:rPr>
        <w:t>将</w:t>
      </w:r>
      <w:r>
        <w:rPr>
          <w:rFonts w:hint="eastAsia" w:ascii="楷体_GB2312" w:hAnsi="宋体" w:eastAsia="楷体_GB2312"/>
          <w:color w:val="000000"/>
          <w:sz w:val="24"/>
          <w:highlight w:val="none"/>
        </w:rPr>
        <w:t>通过</w:t>
      </w:r>
      <w:r>
        <w:rPr>
          <w:rFonts w:hint="eastAsia" w:ascii="楷体_GB2312" w:hAnsi="宋体" w:eastAsia="楷体_GB2312"/>
          <w:color w:val="auto"/>
          <w:sz w:val="24"/>
          <w:highlight w:val="none"/>
          <w:lang w:val="en-US" w:eastAsia="zh-CN"/>
        </w:rPr>
        <w:t>本理财产品销售文件约定的信息披露渠道</w:t>
      </w:r>
      <w:r>
        <w:rPr>
          <w:rFonts w:hint="eastAsia" w:ascii="楷体_GB2312" w:hAnsi="宋体" w:eastAsia="楷体_GB2312"/>
          <w:color w:val="000000"/>
          <w:sz w:val="24"/>
          <w:highlight w:val="none"/>
        </w:rPr>
        <w:t>提前</w:t>
      </w:r>
      <w:r>
        <w:rPr>
          <w:rFonts w:hint="default" w:ascii="楷体_GB2312" w:hAnsi="宋体" w:eastAsia="楷体_GB2312"/>
          <w:color w:val="000000"/>
          <w:sz w:val="24"/>
          <w:highlight w:val="none"/>
          <w:lang w:val="en-US"/>
        </w:rPr>
        <w:t>1</w:t>
      </w:r>
      <w:r>
        <w:rPr>
          <w:rFonts w:hint="eastAsia" w:ascii="楷体_GB2312" w:hAnsi="宋体" w:eastAsia="楷体_GB2312"/>
          <w:color w:val="000000"/>
          <w:sz w:val="24"/>
          <w:highlight w:val="none"/>
          <w:lang w:val="en-US" w:eastAsia="zh-CN"/>
        </w:rPr>
        <w:t>个工作日</w:t>
      </w:r>
      <w:r>
        <w:rPr>
          <w:rFonts w:hint="eastAsia" w:ascii="楷体_GB2312" w:hAnsi="宋体" w:eastAsia="楷体_GB2312"/>
          <w:color w:val="000000"/>
          <w:sz w:val="24"/>
          <w:highlight w:val="none"/>
        </w:rPr>
        <w:t>公告本理财产品</w:t>
      </w:r>
      <w:r>
        <w:rPr>
          <w:rFonts w:hint="eastAsia" w:ascii="楷体_GB2312" w:hAnsi="宋体" w:eastAsia="楷体_GB2312"/>
          <w:color w:val="000000"/>
          <w:sz w:val="24"/>
          <w:highlight w:val="none"/>
          <w:lang w:val="en-US" w:eastAsia="zh-CN"/>
        </w:rPr>
        <w:t>提前</w:t>
      </w:r>
      <w:r>
        <w:rPr>
          <w:rFonts w:hint="eastAsia" w:ascii="楷体_GB2312" w:hAnsi="宋体" w:eastAsia="楷体_GB2312"/>
          <w:color w:val="000000"/>
          <w:sz w:val="24"/>
          <w:highlight w:val="none"/>
        </w:rPr>
        <w:t>终止日</w:t>
      </w:r>
      <w:r>
        <w:rPr>
          <w:rFonts w:hint="eastAsia" w:ascii="楷体_GB2312" w:hAnsi="宋体" w:eastAsia="楷体_GB2312"/>
          <w:color w:val="000000"/>
          <w:sz w:val="24"/>
          <w:highlight w:val="none"/>
          <w:lang w:eastAsia="zh-CN"/>
        </w:rPr>
        <w:t>。</w:t>
      </w:r>
    </w:p>
    <w:p w14:paraId="5E8BC9C8">
      <w:pPr>
        <w:ind w:firstLine="480" w:firstLineChars="20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7</w:t>
      </w:r>
      <w:r>
        <w:rPr>
          <w:rFonts w:hint="eastAsia" w:ascii="楷体_GB2312" w:hAnsi="宋体" w:eastAsia="楷体_GB2312"/>
          <w:color w:val="000000"/>
          <w:sz w:val="24"/>
          <w:highlight w:val="none"/>
        </w:rPr>
        <w:t>.清算期：指自</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w:t>
      </w:r>
      <w:r>
        <w:rPr>
          <w:rFonts w:hint="eastAsia" w:ascii="楷体_GB2312" w:hAnsi="宋体" w:eastAsia="楷体_GB2312"/>
          <w:color w:val="000000"/>
          <w:sz w:val="24"/>
          <w:highlight w:val="none"/>
          <w:lang w:val="en-US" w:eastAsia="zh-CN"/>
        </w:rPr>
        <w:t>到期日/</w:t>
      </w:r>
      <w:r>
        <w:rPr>
          <w:rFonts w:hint="eastAsia" w:ascii="楷体_GB2312" w:hAnsi="宋体" w:eastAsia="楷体_GB2312"/>
          <w:color w:val="000000"/>
          <w:sz w:val="24"/>
          <w:highlight w:val="none"/>
        </w:rPr>
        <w:t>终止日（不含）至投资者理财本金及收益到账日（含）之间为</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理财产品的清算期。清算期原则上不得超过5个工作日，清算期超过5个工作日的，</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w:t>
      </w:r>
      <w:r>
        <w:rPr>
          <w:rFonts w:hint="eastAsia" w:ascii="楷体_GB2312" w:hAnsi="宋体" w:eastAsia="楷体_GB2312"/>
          <w:color w:val="000000"/>
          <w:sz w:val="24"/>
          <w:highlight w:val="none"/>
          <w:lang w:val="en-US" w:eastAsia="zh-CN"/>
        </w:rPr>
        <w:t>到期日/</w:t>
      </w:r>
      <w:r>
        <w:rPr>
          <w:rFonts w:hint="eastAsia" w:ascii="楷体_GB2312" w:hAnsi="宋体" w:eastAsia="楷体_GB2312"/>
          <w:color w:val="000000"/>
          <w:sz w:val="24"/>
          <w:highlight w:val="none"/>
        </w:rPr>
        <w:t>终止日前，</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将提前</w:t>
      </w:r>
      <w:r>
        <w:rPr>
          <w:rFonts w:hint="default" w:ascii="楷体_GB2312" w:hAnsi="宋体" w:eastAsia="楷体_GB2312"/>
          <w:color w:val="000000"/>
          <w:sz w:val="24"/>
          <w:highlight w:val="none"/>
          <w:lang w:val="en-US"/>
        </w:rPr>
        <w:t>1</w:t>
      </w:r>
      <w:r>
        <w:rPr>
          <w:rFonts w:hint="eastAsia" w:ascii="楷体_GB2312" w:hAnsi="宋体" w:eastAsia="楷体_GB2312"/>
          <w:color w:val="000000"/>
          <w:sz w:val="24"/>
          <w:highlight w:val="none"/>
        </w:rPr>
        <w:t>个工作日通过</w:t>
      </w:r>
      <w:r>
        <w:rPr>
          <w:rFonts w:hint="eastAsia" w:ascii="楷体_GB2312" w:hAnsi="宋体" w:eastAsia="楷体_GB2312"/>
          <w:color w:val="auto"/>
          <w:sz w:val="24"/>
          <w:highlight w:val="none"/>
          <w:lang w:val="en-US" w:eastAsia="zh-CN"/>
        </w:rPr>
        <w:t>本理财产品销售文件约定的信息披露渠道</w:t>
      </w:r>
      <w:r>
        <w:rPr>
          <w:rFonts w:hint="eastAsia" w:ascii="楷体_GB2312" w:hAnsi="宋体" w:eastAsia="楷体_GB2312"/>
          <w:color w:val="auto"/>
          <w:sz w:val="24"/>
          <w:highlight w:val="none"/>
        </w:rPr>
        <w:t>发布相关信息公告通知投资者。</w:t>
      </w:r>
      <w:r>
        <w:rPr>
          <w:rFonts w:hint="default" w:ascii="楷体_GB2312" w:hAnsi="宋体" w:eastAsia="楷体_GB2312" w:cs="Times New Roman"/>
          <w:color w:val="auto"/>
          <w:sz w:val="24"/>
          <w:highlight w:val="none"/>
          <w:lang w:val="en-US" w:eastAsia="zh-CN"/>
        </w:rPr>
        <w:t>本</w:t>
      </w:r>
      <w:r>
        <w:rPr>
          <w:rFonts w:hint="default" w:ascii="楷体_GB2312" w:hAnsi="宋体" w:eastAsia="楷体_GB2312" w:cs="Times New Roman"/>
          <w:color w:val="auto"/>
          <w:sz w:val="24"/>
          <w:highlight w:val="none"/>
        </w:rPr>
        <w:t>理财产品进入清算期后不再计算收益。</w:t>
      </w:r>
    </w:p>
    <w:p w14:paraId="3437F2AB">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五</w:t>
      </w:r>
      <w:r>
        <w:rPr>
          <w:rFonts w:hint="eastAsia" w:ascii="楷体_GB2312" w:hAnsi="宋体" w:eastAsia="楷体_GB2312"/>
          <w:color w:val="000000"/>
          <w:sz w:val="24"/>
          <w:highlight w:val="none"/>
        </w:rPr>
        <w:t>）其他</w:t>
      </w:r>
    </w:p>
    <w:p w14:paraId="48B73BA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1.不可抗力：指</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理财产品各方不能预见、不能避免且不能克服的客观情况，该事件妨碍、影响或延误任何一方依</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理财产品销售文件履行其全部或部分义务。该事件包括但不限于：</w:t>
      </w:r>
    </w:p>
    <w:p w14:paraId="1A95A7FA">
      <w:pPr>
        <w:pStyle w:val="45"/>
        <w:ind w:firstLine="480" w:firstLineChars="200"/>
        <w:rPr>
          <w:rFonts w:ascii="楷体_GB2312" w:hAnsi="宋体" w:eastAsia="楷体_GB2312"/>
          <w:highlight w:val="none"/>
        </w:rPr>
      </w:pPr>
      <w:r>
        <w:rPr>
          <w:rFonts w:ascii="楷体_GB2312" w:hAnsi="宋体" w:eastAsia="楷体_GB2312"/>
          <w:highlight w:val="none"/>
        </w:rPr>
        <w:t>（1）地震、台风、海啸、洪水、火灾、停电、瘟疫；</w:t>
      </w:r>
    </w:p>
    <w:p w14:paraId="5FD200C2">
      <w:pPr>
        <w:autoSpaceDE w:val="0"/>
        <w:autoSpaceDN w:val="0"/>
        <w:adjustRightInd w:val="0"/>
        <w:ind w:firstLine="480" w:firstLineChars="200"/>
        <w:jc w:val="left"/>
        <w:rPr>
          <w:rFonts w:ascii="楷体_GB2312" w:hAnsi="宋体" w:eastAsia="楷体_GB2312" w:cs="宋体"/>
          <w:color w:val="000000"/>
          <w:kern w:val="0"/>
          <w:sz w:val="24"/>
          <w:highlight w:val="none"/>
        </w:rPr>
      </w:pPr>
      <w:r>
        <w:rPr>
          <w:rFonts w:ascii="楷体_GB2312" w:hAnsi="宋体" w:eastAsia="楷体_GB2312" w:cs="宋体"/>
          <w:color w:val="000000"/>
          <w:kern w:val="0"/>
          <w:sz w:val="24"/>
          <w:highlight w:val="none"/>
        </w:rPr>
        <w:t>（2）战争、政变、恐怖主义行动、骚乱、罢工；</w:t>
      </w:r>
    </w:p>
    <w:p w14:paraId="1491F155">
      <w:pPr>
        <w:autoSpaceDE w:val="0"/>
        <w:autoSpaceDN w:val="0"/>
        <w:adjustRightInd w:val="0"/>
        <w:ind w:firstLine="480" w:firstLineChars="200"/>
        <w:jc w:val="left"/>
        <w:rPr>
          <w:rFonts w:ascii="楷体_GB2312" w:hAnsi="宋体" w:eastAsia="楷体_GB2312" w:cs="宋体"/>
          <w:color w:val="000000"/>
          <w:kern w:val="0"/>
          <w:sz w:val="24"/>
          <w:highlight w:val="none"/>
        </w:rPr>
      </w:pPr>
      <w:r>
        <w:rPr>
          <w:rFonts w:ascii="楷体_GB2312" w:hAnsi="宋体" w:eastAsia="楷体_GB2312" w:cs="宋体"/>
          <w:color w:val="000000"/>
          <w:kern w:val="0"/>
          <w:sz w:val="24"/>
          <w:highlight w:val="none"/>
        </w:rPr>
        <w:t>（3）新的适用法律或国家政策的颁布或实施、对原适用法律或国家政策的修改；</w:t>
      </w:r>
    </w:p>
    <w:p w14:paraId="4F3AC317">
      <w:pPr>
        <w:autoSpaceDE w:val="0"/>
        <w:autoSpaceDN w:val="0"/>
        <w:adjustRightInd w:val="0"/>
        <w:ind w:firstLine="480" w:firstLineChars="200"/>
        <w:jc w:val="left"/>
        <w:rPr>
          <w:rFonts w:ascii="楷体_GB2312" w:hAnsi="宋体" w:eastAsia="楷体_GB2312" w:cs="宋体"/>
          <w:color w:val="000000"/>
          <w:kern w:val="0"/>
          <w:sz w:val="24"/>
          <w:highlight w:val="none"/>
        </w:rPr>
      </w:pPr>
      <w:r>
        <w:rPr>
          <w:rFonts w:ascii="楷体_GB2312" w:hAnsi="宋体" w:eastAsia="楷体_GB2312" w:cs="宋体"/>
          <w:color w:val="000000"/>
          <w:kern w:val="0"/>
          <w:sz w:val="24"/>
          <w:highlight w:val="none"/>
        </w:rPr>
        <w:t>（4）</w:t>
      </w:r>
      <w:r>
        <w:rPr>
          <w:rFonts w:hint="eastAsia" w:ascii="楷体_GB2312" w:eastAsia="楷体_GB2312"/>
          <w:color w:val="000000"/>
          <w:sz w:val="24"/>
          <w:highlight w:val="none"/>
        </w:rPr>
        <w:t>国家金融监督管理总局</w:t>
      </w:r>
      <w:r>
        <w:rPr>
          <w:rFonts w:ascii="楷体_GB2312" w:hAnsi="宋体" w:eastAsia="楷体_GB2312" w:cs="宋体"/>
          <w:color w:val="000000"/>
          <w:kern w:val="0"/>
          <w:sz w:val="24"/>
          <w:highlight w:val="none"/>
        </w:rPr>
        <w:t>或其他有权机关要求终止</w:t>
      </w:r>
      <w:r>
        <w:rPr>
          <w:rFonts w:hint="eastAsia" w:ascii="楷体_GB2312" w:hAnsi="宋体" w:eastAsia="楷体_GB2312" w:cs="宋体"/>
          <w:color w:val="000000"/>
          <w:kern w:val="0"/>
          <w:sz w:val="24"/>
          <w:highlight w:val="none"/>
          <w:lang w:val="en-US" w:eastAsia="zh-CN"/>
        </w:rPr>
        <w:t>本</w:t>
      </w:r>
      <w:r>
        <w:rPr>
          <w:rFonts w:ascii="楷体_GB2312" w:hAnsi="宋体" w:eastAsia="楷体_GB2312" w:cs="宋体"/>
          <w:color w:val="000000"/>
          <w:kern w:val="0"/>
          <w:sz w:val="24"/>
          <w:highlight w:val="none"/>
        </w:rPr>
        <w:t>理财产品（该等要求不可归责于任何一方）；</w:t>
      </w:r>
    </w:p>
    <w:p w14:paraId="1019D029">
      <w:pPr>
        <w:autoSpaceDE w:val="0"/>
        <w:autoSpaceDN w:val="0"/>
        <w:adjustRightInd w:val="0"/>
        <w:ind w:firstLine="480" w:firstLineChars="200"/>
        <w:jc w:val="left"/>
        <w:rPr>
          <w:rFonts w:ascii="楷体_GB2312" w:hAnsi="宋体" w:eastAsia="楷体_GB2312" w:cs="宋体"/>
          <w:color w:val="000000"/>
          <w:kern w:val="0"/>
          <w:sz w:val="24"/>
          <w:highlight w:val="none"/>
        </w:rPr>
      </w:pPr>
      <w:r>
        <w:rPr>
          <w:rFonts w:ascii="楷体_GB2312" w:hAnsi="宋体" w:eastAsia="楷体_GB2312" w:cs="宋体"/>
          <w:color w:val="000000"/>
          <w:kern w:val="0"/>
          <w:sz w:val="24"/>
          <w:highlight w:val="none"/>
        </w:rPr>
        <w:t>（5）因</w:t>
      </w:r>
      <w:r>
        <w:rPr>
          <w:rFonts w:hint="eastAsia" w:ascii="楷体_GB2312" w:hAnsi="宋体" w:eastAsia="楷体_GB2312" w:cs="宋体"/>
          <w:color w:val="000000"/>
          <w:kern w:val="0"/>
          <w:sz w:val="24"/>
          <w:highlight w:val="none"/>
          <w:lang w:val="en-US" w:eastAsia="zh-CN"/>
        </w:rPr>
        <w:t>本</w:t>
      </w:r>
      <w:r>
        <w:rPr>
          <w:rFonts w:ascii="楷体_GB2312" w:hAnsi="宋体" w:eastAsia="楷体_GB2312" w:cs="宋体"/>
          <w:color w:val="000000"/>
          <w:kern w:val="0"/>
          <w:sz w:val="24"/>
          <w:highlight w:val="none"/>
        </w:rPr>
        <w:t>理财产品各方和/或其关联方运营网络系统遭受黑客攻击、电信部门技术调整或故障等原因而造成的</w:t>
      </w:r>
      <w:r>
        <w:rPr>
          <w:rFonts w:hint="eastAsia" w:ascii="楷体_GB2312" w:hAnsi="宋体" w:eastAsia="楷体_GB2312" w:cs="宋体"/>
          <w:color w:val="000000"/>
          <w:kern w:val="0"/>
          <w:sz w:val="24"/>
          <w:highlight w:val="none"/>
          <w:lang w:val="en-US" w:eastAsia="zh-CN"/>
        </w:rPr>
        <w:t>本</w:t>
      </w:r>
      <w:r>
        <w:rPr>
          <w:rFonts w:ascii="楷体_GB2312" w:hAnsi="宋体" w:eastAsia="楷体_GB2312" w:cs="宋体"/>
          <w:color w:val="000000"/>
          <w:kern w:val="0"/>
          <w:sz w:val="24"/>
          <w:highlight w:val="none"/>
        </w:rPr>
        <w:t>理财产品各方和/或其关联方之服务、营业的中断或者延迟。</w:t>
      </w:r>
    </w:p>
    <w:p w14:paraId="102D494F">
      <w:pPr>
        <w:autoSpaceDE w:val="0"/>
        <w:autoSpaceDN w:val="0"/>
        <w:adjustRightInd w:val="0"/>
        <w:ind w:firstLine="480" w:firstLineChars="200"/>
        <w:jc w:val="left"/>
        <w:rPr>
          <w:rFonts w:ascii="楷体_GB2312" w:hAnsi="宋体" w:eastAsia="楷体_GB2312"/>
          <w:color w:val="000000"/>
          <w:sz w:val="24"/>
          <w:highlight w:val="none"/>
        </w:rPr>
      </w:pPr>
      <w:r>
        <w:rPr>
          <w:rFonts w:hint="eastAsia" w:ascii="楷体_GB2312" w:hAnsi="宋体" w:eastAsia="楷体_GB2312"/>
          <w:color w:val="000000"/>
          <w:sz w:val="24"/>
          <w:highlight w:val="none"/>
        </w:rPr>
        <w:t>2.元</w:t>
      </w:r>
      <w:r>
        <w:rPr>
          <w:rFonts w:hint="eastAsia" w:ascii="楷体_GB2312" w:hAnsi="宋体" w:eastAsia="楷体_GB2312"/>
          <w:color w:val="000000"/>
          <w:sz w:val="24"/>
          <w:highlight w:val="none"/>
          <w:lang w:eastAsia="zh-CN"/>
        </w:rPr>
        <w:t>：</w:t>
      </w:r>
      <w:r>
        <w:rPr>
          <w:rFonts w:hint="eastAsia" w:ascii="楷体_GB2312" w:hAnsi="宋体" w:eastAsia="楷体_GB2312"/>
          <w:color w:val="auto"/>
          <w:sz w:val="24"/>
          <w:highlight w:val="none"/>
        </w:rPr>
        <w:t>指</w:t>
      </w:r>
      <w:r>
        <w:rPr>
          <w:rFonts w:hint="eastAsia" w:ascii="楷体_GB2312" w:hAnsi="宋体" w:eastAsia="楷体_GB2312"/>
          <w:color w:val="auto"/>
          <w:sz w:val="24"/>
          <w:highlight w:val="none"/>
          <w:lang w:val="en-US" w:eastAsia="zh-CN"/>
        </w:rPr>
        <w:t>人民币</w:t>
      </w:r>
      <w:r>
        <w:rPr>
          <w:rFonts w:hint="eastAsia" w:ascii="楷体_GB2312" w:hAnsi="宋体" w:eastAsia="楷体_GB2312"/>
          <w:color w:val="000000"/>
          <w:sz w:val="24"/>
          <w:highlight w:val="none"/>
        </w:rPr>
        <w:t>。</w:t>
      </w:r>
    </w:p>
    <w:p w14:paraId="54F2C2C7">
      <w:pPr>
        <w:autoSpaceDE w:val="0"/>
        <w:autoSpaceDN w:val="0"/>
        <w:adjustRightInd w:val="0"/>
        <w:ind w:firstLine="480" w:firstLineChars="200"/>
        <w:jc w:val="left"/>
        <w:rPr>
          <w:rFonts w:ascii="楷体_GB2312" w:hAnsi="宋体" w:eastAsia="楷体_GB2312"/>
          <w:color w:val="000000"/>
          <w:sz w:val="24"/>
          <w:highlight w:val="none"/>
        </w:rPr>
      </w:pPr>
      <w:r>
        <w:rPr>
          <w:rFonts w:hint="eastAsia" w:ascii="楷体_GB2312" w:hAnsi="宋体" w:eastAsia="楷体_GB2312"/>
          <w:color w:val="000000"/>
          <w:sz w:val="24"/>
          <w:highlight w:val="none"/>
        </w:rPr>
        <w:t>3.适用法律法规：指在</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销售文件签署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6CEA683B">
      <w:pPr>
        <w:autoSpaceDE w:val="0"/>
        <w:autoSpaceDN w:val="0"/>
        <w:adjustRightInd w:val="0"/>
        <w:ind w:firstLine="480" w:firstLineChars="200"/>
        <w:jc w:val="left"/>
        <w:rPr>
          <w:rFonts w:ascii="楷体_GB2312" w:hAnsi="宋体" w:eastAsia="楷体_GB2312"/>
          <w:color w:val="000000"/>
          <w:sz w:val="24"/>
          <w:highlight w:val="none"/>
        </w:rPr>
      </w:pPr>
      <w:r>
        <w:rPr>
          <w:rFonts w:hint="eastAsia" w:ascii="楷体_GB2312" w:hAnsi="宋体" w:eastAsia="楷体_GB2312"/>
          <w:color w:val="000000"/>
          <w:sz w:val="24"/>
          <w:highlight w:val="none"/>
        </w:rPr>
        <w:t>4.时间：受理时间、信息公布的相关时间以</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业务处理系统记录的北京时间为准。</w:t>
      </w:r>
    </w:p>
    <w:p w14:paraId="6300417C">
      <w:pPr>
        <w:pStyle w:val="3"/>
        <w:ind w:left="0" w:leftChars="0" w:firstLine="482" w:firstLineChars="200"/>
        <w:rPr>
          <w:b/>
          <w:bCs/>
          <w:highlight w:val="none"/>
        </w:rPr>
      </w:pPr>
      <w:r>
        <w:rPr>
          <w:rFonts w:hint="eastAsia" w:ascii="楷体_GB2312" w:hAnsi="宋体" w:eastAsia="楷体_GB2312"/>
          <w:b/>
          <w:bCs/>
          <w:color w:val="000000"/>
          <w:sz w:val="24"/>
          <w:highlight w:val="none"/>
        </w:rPr>
        <w:t>★</w:t>
      </w:r>
      <w:r>
        <w:rPr>
          <w:rFonts w:hint="eastAsia" w:ascii="楷体_GB2312" w:eastAsia="楷体_GB2312"/>
          <w:b/>
          <w:bCs/>
          <w:color w:val="000000"/>
          <w:sz w:val="24"/>
          <w:szCs w:val="24"/>
          <w:highlight w:val="none"/>
        </w:rPr>
        <w:t>三、产品概况和基本要素</w:t>
      </w:r>
    </w:p>
    <w:tbl>
      <w:tblPr>
        <w:tblStyle w:val="17"/>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8"/>
        <w:gridCol w:w="6656"/>
      </w:tblGrid>
      <w:tr w14:paraId="17B6F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32275A0D">
            <w:pPr>
              <w:snapToGrid w:val="0"/>
              <w:rPr>
                <w:rFonts w:ascii="楷体_GB2312" w:eastAsia="楷体_GB2312"/>
                <w:color w:val="auto"/>
                <w:sz w:val="24"/>
                <w:highlight w:val="none"/>
              </w:rPr>
            </w:pPr>
            <w:r>
              <w:rPr>
                <w:rFonts w:hint="eastAsia" w:ascii="楷体_GB2312" w:eastAsia="楷体_GB2312"/>
                <w:bCs/>
                <w:color w:val="auto"/>
                <w:sz w:val="24"/>
                <w:highlight w:val="none"/>
              </w:rPr>
              <w:t>产品名称</w:t>
            </w:r>
          </w:p>
        </w:tc>
        <w:tc>
          <w:tcPr>
            <w:tcW w:w="6656" w:type="dxa"/>
            <w:noWrap w:val="0"/>
            <w:vAlign w:val="center"/>
          </w:tcPr>
          <w:p w14:paraId="291BDA08">
            <w:pPr>
              <w:rPr>
                <w:rFonts w:ascii="楷体_GB2312" w:hAnsi="宋体" w:eastAsia="楷体_GB2312"/>
                <w:color w:val="auto"/>
                <w:sz w:val="24"/>
                <w:highlight w:val="none"/>
              </w:rPr>
            </w:pPr>
            <w:r>
              <w:rPr>
                <w:rFonts w:hint="eastAsia" w:ascii="楷体_GB2312" w:hAnsi="宋体" w:eastAsia="楷体_GB2312" w:cs="Times New Roman"/>
                <w:color w:val="000000"/>
                <w:sz w:val="24"/>
                <w:highlight w:val="none"/>
                <w:lang w:eastAsia="zh-CN"/>
              </w:rPr>
              <w:t>北银理财京华远见春系列卓远固收封闭式290号</w:t>
            </w:r>
            <w:r>
              <w:rPr>
                <w:rFonts w:hint="eastAsia" w:ascii="楷体_GB2312" w:hAnsi="宋体" w:eastAsia="楷体_GB2312" w:cs="Times New Roman"/>
                <w:color w:val="000000"/>
                <w:sz w:val="24"/>
                <w:highlight w:val="none"/>
              </w:rPr>
              <w:t>理财产品</w:t>
            </w:r>
          </w:p>
        </w:tc>
      </w:tr>
      <w:tr w14:paraId="155CF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428" w:type="dxa"/>
            <w:noWrap w:val="0"/>
            <w:vAlign w:val="center"/>
          </w:tcPr>
          <w:p w14:paraId="5C9D36A6">
            <w:pPr>
              <w:snapToGrid w:val="0"/>
              <w:rPr>
                <w:rFonts w:ascii="楷体_GB2312" w:eastAsia="楷体_GB2312"/>
                <w:bCs/>
                <w:color w:val="auto"/>
                <w:sz w:val="24"/>
                <w:highlight w:val="none"/>
              </w:rPr>
            </w:pPr>
            <w:r>
              <w:rPr>
                <w:rFonts w:hint="eastAsia" w:ascii="楷体_GB2312" w:eastAsia="楷体_GB2312"/>
                <w:bCs/>
                <w:color w:val="auto"/>
                <w:sz w:val="24"/>
                <w:highlight w:val="none"/>
              </w:rPr>
              <w:t>产品销售名称</w:t>
            </w:r>
          </w:p>
        </w:tc>
        <w:tc>
          <w:tcPr>
            <w:tcW w:w="6656" w:type="dxa"/>
            <w:noWrap w:val="0"/>
            <w:vAlign w:val="top"/>
          </w:tcPr>
          <w:p w14:paraId="54E1622F">
            <w:pPr>
              <w:rPr>
                <w:rFonts w:hint="default" w:ascii="楷体_GB2312" w:hAnsi="宋体" w:eastAsia="楷体_GB2312"/>
                <w:color w:val="auto"/>
                <w:sz w:val="24"/>
                <w:highlight w:val="none"/>
                <w:lang w:val="en-US"/>
              </w:rPr>
            </w:pPr>
            <w:r>
              <w:rPr>
                <w:rFonts w:hint="eastAsia" w:ascii="楷体_GB2312" w:eastAsia="楷体_GB2312"/>
                <w:bCs/>
                <w:color w:val="auto"/>
                <w:sz w:val="24"/>
                <w:highlight w:val="none"/>
                <w:lang w:val="en-US" w:eastAsia="zh-CN"/>
              </w:rPr>
              <w:t>A类份额</w:t>
            </w:r>
            <w:r>
              <w:rPr>
                <w:rFonts w:hint="eastAsia" w:ascii="楷体_GB2312" w:eastAsia="楷体_GB2312"/>
                <w:bCs/>
                <w:color w:val="auto"/>
                <w:sz w:val="24"/>
                <w:highlight w:val="none"/>
              </w:rPr>
              <w:t>：</w:t>
            </w:r>
            <w:r>
              <w:rPr>
                <w:rFonts w:hint="eastAsia" w:ascii="楷体_GB2312" w:hAnsi="宋体" w:eastAsia="楷体_GB2312" w:cs="Times New Roman"/>
                <w:color w:val="auto"/>
                <w:sz w:val="24"/>
                <w:highlight w:val="none"/>
              </w:rPr>
              <w:t>春系列</w:t>
            </w:r>
            <w:r>
              <w:rPr>
                <w:rFonts w:hint="eastAsia" w:ascii="楷体_GB2312" w:hAnsi="宋体" w:eastAsia="楷体_GB2312" w:cs="Times New Roman"/>
                <w:color w:val="auto"/>
                <w:sz w:val="24"/>
                <w:highlight w:val="none"/>
                <w:lang w:val="en-US" w:eastAsia="zh-CN"/>
              </w:rPr>
              <w:t>卓远固收封闭式290号A类份额</w:t>
            </w:r>
          </w:p>
        </w:tc>
      </w:tr>
      <w:tr w14:paraId="70B2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2428" w:type="dxa"/>
            <w:noWrap w:val="0"/>
            <w:vAlign w:val="center"/>
          </w:tcPr>
          <w:p w14:paraId="435D7B76">
            <w:pPr>
              <w:snapToGrid w:val="0"/>
              <w:rPr>
                <w:rFonts w:ascii="楷体_GB2312" w:eastAsia="楷体_GB2312"/>
                <w:bCs/>
                <w:color w:val="auto"/>
                <w:sz w:val="24"/>
                <w:highlight w:val="none"/>
              </w:rPr>
            </w:pPr>
            <w:r>
              <w:rPr>
                <w:rFonts w:hint="eastAsia" w:ascii="楷体_GB2312" w:eastAsia="楷体_GB2312"/>
                <w:bCs/>
                <w:color w:val="auto"/>
                <w:sz w:val="24"/>
                <w:highlight w:val="none"/>
              </w:rPr>
              <w:t>产品代码</w:t>
            </w:r>
          </w:p>
        </w:tc>
        <w:tc>
          <w:tcPr>
            <w:tcW w:w="6656" w:type="dxa"/>
            <w:noWrap w:val="0"/>
            <w:vAlign w:val="top"/>
          </w:tcPr>
          <w:p w14:paraId="0BF4B683">
            <w:pPr>
              <w:rPr>
                <w:rFonts w:hint="default" w:ascii="楷体_GB2312" w:hAnsi="宋体" w:eastAsia="楷体_GB2312"/>
                <w:color w:val="auto"/>
                <w:sz w:val="24"/>
                <w:highlight w:val="none"/>
                <w:lang w:val="en-US" w:eastAsia="zh-CN"/>
              </w:rPr>
            </w:pPr>
            <w:r>
              <w:rPr>
                <w:rFonts w:hint="eastAsia" w:ascii="楷体_GB2312" w:hAnsi="宋体" w:eastAsia="楷体_GB2312" w:cs="Times New Roman"/>
                <w:color w:val="auto"/>
                <w:sz w:val="24"/>
                <w:highlight w:val="none"/>
                <w:lang w:val="en-US" w:eastAsia="zh-CN"/>
              </w:rPr>
              <w:t>YJ01251231</w:t>
            </w:r>
          </w:p>
        </w:tc>
      </w:tr>
      <w:tr w14:paraId="03FE9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32402E62">
            <w:pPr>
              <w:snapToGrid w:val="0"/>
              <w:rPr>
                <w:rFonts w:ascii="楷体_GB2312" w:eastAsia="楷体_GB2312"/>
                <w:bCs/>
                <w:color w:val="auto"/>
                <w:sz w:val="24"/>
                <w:highlight w:val="none"/>
              </w:rPr>
            </w:pPr>
            <w:r>
              <w:rPr>
                <w:rFonts w:hint="eastAsia" w:ascii="楷体_GB2312" w:eastAsia="楷体_GB2312"/>
                <w:bCs/>
                <w:color w:val="auto"/>
                <w:sz w:val="24"/>
                <w:highlight w:val="none"/>
              </w:rPr>
              <w:t>产品销售代码</w:t>
            </w:r>
          </w:p>
        </w:tc>
        <w:tc>
          <w:tcPr>
            <w:tcW w:w="6656" w:type="dxa"/>
            <w:noWrap w:val="0"/>
            <w:vAlign w:val="top"/>
          </w:tcPr>
          <w:p w14:paraId="278BE4B8">
            <w:pPr>
              <w:rPr>
                <w:rFonts w:hint="default" w:ascii="楷体_GB2312" w:hAnsi="宋体" w:eastAsia="楷体_GB2312"/>
                <w:color w:val="auto"/>
                <w:sz w:val="24"/>
                <w:highlight w:val="none"/>
                <w:lang w:val="en-US" w:eastAsia="zh-CN"/>
              </w:rPr>
            </w:pPr>
            <w:r>
              <w:rPr>
                <w:rFonts w:hint="eastAsia" w:ascii="楷体_GB2312" w:eastAsia="楷体_GB2312"/>
                <w:bCs/>
                <w:color w:val="auto"/>
                <w:sz w:val="24"/>
                <w:highlight w:val="none"/>
                <w:lang w:val="en-US" w:eastAsia="zh-CN"/>
              </w:rPr>
              <w:t>A类份额</w:t>
            </w:r>
            <w:r>
              <w:rPr>
                <w:rFonts w:hint="eastAsia" w:ascii="楷体_GB2312" w:eastAsia="楷体_GB2312"/>
                <w:bCs/>
                <w:color w:val="auto"/>
                <w:sz w:val="24"/>
                <w:highlight w:val="none"/>
              </w:rPr>
              <w:t>：</w:t>
            </w:r>
            <w:r>
              <w:rPr>
                <w:rFonts w:hint="eastAsia" w:ascii="楷体_GB2312" w:hAnsi="宋体" w:eastAsia="楷体_GB2312" w:cs="Times New Roman"/>
                <w:color w:val="auto"/>
                <w:sz w:val="24"/>
                <w:highlight w:val="none"/>
                <w:lang w:val="en-US" w:eastAsia="zh-CN"/>
              </w:rPr>
              <w:t>YJ01251231A</w:t>
            </w:r>
          </w:p>
        </w:tc>
      </w:tr>
      <w:tr w14:paraId="2A1CD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5FD91348">
            <w:pPr>
              <w:snapToGrid w:val="0"/>
              <w:rPr>
                <w:rFonts w:ascii="楷体_GB2312" w:eastAsia="楷体_GB2312"/>
                <w:bCs/>
                <w:color w:val="auto"/>
                <w:sz w:val="24"/>
                <w:highlight w:val="none"/>
              </w:rPr>
            </w:pPr>
            <w:r>
              <w:rPr>
                <w:rFonts w:hint="eastAsia" w:ascii="楷体_GB2312" w:eastAsia="楷体_GB2312"/>
                <w:bCs/>
                <w:color w:val="auto"/>
                <w:sz w:val="24"/>
                <w:highlight w:val="none"/>
              </w:rPr>
              <w:t>产品登记编码</w:t>
            </w:r>
          </w:p>
        </w:tc>
        <w:tc>
          <w:tcPr>
            <w:tcW w:w="6656" w:type="dxa"/>
            <w:noWrap w:val="0"/>
            <w:vAlign w:val="top"/>
          </w:tcPr>
          <w:p w14:paraId="7C44B79C">
            <w:pPr>
              <w:rPr>
                <w:rFonts w:hint="eastAsia" w:ascii="楷体_GB2312" w:hAnsi="宋体" w:eastAsia="楷体_GB2312"/>
                <w:color w:val="auto"/>
                <w:sz w:val="24"/>
                <w:highlight w:val="none"/>
                <w:lang w:val="en-US" w:eastAsia="zh-CN"/>
              </w:rPr>
            </w:pPr>
            <w:r>
              <w:rPr>
                <w:rFonts w:hint="eastAsia" w:ascii="楷体_GB2312" w:hAnsi="宋体" w:eastAsia="楷体_GB2312"/>
                <w:color w:val="auto"/>
                <w:sz w:val="24"/>
                <w:highlight w:val="none"/>
              </w:rPr>
              <w:t>产品登记编码：</w:t>
            </w:r>
            <w:r>
              <w:rPr>
                <w:rFonts w:hint="eastAsia" w:ascii="楷体_GB2312" w:hAnsi="宋体" w:eastAsia="楷体_GB2312" w:cs="Times New Roman"/>
                <w:color w:val="auto"/>
                <w:sz w:val="24"/>
                <w:highlight w:val="none"/>
                <w:lang w:val="en-US" w:eastAsia="zh-CN"/>
              </w:rPr>
              <w:t>Z7008926000029</w:t>
            </w:r>
          </w:p>
          <w:p w14:paraId="0EC6DAF4">
            <w:pPr>
              <w:rPr>
                <w:rFonts w:ascii="楷体_GB2312" w:hAnsi="宋体" w:eastAsia="楷体_GB2312"/>
                <w:color w:val="auto"/>
                <w:sz w:val="24"/>
                <w:highlight w:val="none"/>
              </w:rPr>
            </w:pPr>
            <w:r>
              <w:rPr>
                <w:rFonts w:hint="eastAsia" w:ascii="楷体_GB2312" w:hAnsi="宋体" w:eastAsia="楷体_GB2312"/>
                <w:color w:val="auto"/>
                <w:sz w:val="24"/>
                <w:highlight w:val="none"/>
              </w:rPr>
              <w:t>（投资者可依据该</w:t>
            </w:r>
            <w:r>
              <w:rPr>
                <w:rFonts w:hint="eastAsia" w:ascii="楷体_GB2312" w:hAnsi="宋体" w:eastAsia="楷体_GB2312"/>
                <w:color w:val="auto"/>
                <w:sz w:val="24"/>
                <w:highlight w:val="none"/>
                <w:lang w:eastAsia="zh-CN"/>
              </w:rPr>
              <w:t>产品</w:t>
            </w:r>
            <w:r>
              <w:rPr>
                <w:rFonts w:hint="eastAsia" w:ascii="楷体_GB2312" w:hAnsi="宋体" w:eastAsia="楷体_GB2312"/>
                <w:color w:val="auto"/>
                <w:sz w:val="24"/>
                <w:highlight w:val="none"/>
              </w:rPr>
              <w:t>登记编码在“中国理财网”查询</w:t>
            </w:r>
            <w:r>
              <w:rPr>
                <w:rFonts w:hint="eastAsia" w:ascii="楷体_GB2312" w:hAnsi="宋体" w:eastAsia="楷体_GB2312"/>
                <w:color w:val="auto"/>
                <w:sz w:val="24"/>
                <w:highlight w:val="none"/>
                <w:lang w:eastAsia="zh-CN"/>
              </w:rPr>
              <w:t>本理财</w:t>
            </w:r>
            <w:r>
              <w:rPr>
                <w:rFonts w:hint="eastAsia" w:ascii="楷体_GB2312" w:hAnsi="宋体" w:eastAsia="楷体_GB2312"/>
                <w:color w:val="auto"/>
                <w:sz w:val="24"/>
                <w:highlight w:val="none"/>
              </w:rPr>
              <w:t>产品信息</w:t>
            </w:r>
            <w:r>
              <w:rPr>
                <w:rFonts w:hint="eastAsia" w:ascii="楷体_GB2312" w:hAnsi="宋体" w:eastAsia="楷体_GB2312"/>
                <w:color w:val="auto"/>
                <w:sz w:val="24"/>
                <w:highlight w:val="none"/>
                <w:lang w:eastAsia="zh-CN"/>
              </w:rPr>
              <w:t>，</w:t>
            </w:r>
            <w:r>
              <w:rPr>
                <w:rFonts w:hint="eastAsia" w:ascii="楷体_GB2312" w:hAnsi="宋体" w:eastAsia="楷体_GB2312"/>
                <w:color w:val="auto"/>
                <w:sz w:val="24"/>
                <w:highlight w:val="none"/>
              </w:rPr>
              <w:t>“中国理财网”网址：</w:t>
            </w:r>
            <w:r>
              <w:rPr>
                <w:rFonts w:hint="eastAsia"/>
                <w:color w:val="auto"/>
                <w:highlight w:val="none"/>
              </w:rPr>
              <w:fldChar w:fldCharType="begin"/>
            </w:r>
            <w:r>
              <w:rPr>
                <w:color w:val="auto"/>
                <w:highlight w:val="none"/>
              </w:rPr>
              <w:instrText xml:space="preserve"> HYPERLINK "http://www.chinawealth.com.cn/" </w:instrText>
            </w:r>
            <w:r>
              <w:rPr>
                <w:rFonts w:hint="eastAsia"/>
                <w:color w:val="auto"/>
                <w:highlight w:val="none"/>
              </w:rPr>
              <w:fldChar w:fldCharType="separate"/>
            </w:r>
            <w:r>
              <w:rPr>
                <w:rFonts w:hint="eastAsia" w:ascii="楷体_GB2312" w:hAnsi="宋体" w:eastAsia="楷体_GB2312"/>
                <w:color w:val="auto"/>
                <w:sz w:val="24"/>
                <w:highlight w:val="none"/>
              </w:rPr>
              <w:t>www.chinawealth.com.cn</w:t>
            </w:r>
            <w:r>
              <w:rPr>
                <w:rFonts w:hint="eastAsia" w:ascii="楷体_GB2312" w:hAnsi="宋体" w:eastAsia="楷体_GB2312"/>
                <w:color w:val="auto"/>
                <w:sz w:val="24"/>
                <w:highlight w:val="none"/>
              </w:rPr>
              <w:fldChar w:fldCharType="end"/>
            </w:r>
            <w:r>
              <w:rPr>
                <w:rFonts w:ascii="楷体_GB2312" w:hAnsi="宋体" w:eastAsia="楷体_GB2312"/>
                <w:color w:val="auto"/>
                <w:sz w:val="24"/>
                <w:highlight w:val="none"/>
              </w:rPr>
              <w:t>）</w:t>
            </w:r>
          </w:p>
        </w:tc>
      </w:tr>
      <w:tr w14:paraId="66937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2428" w:type="dxa"/>
            <w:noWrap w:val="0"/>
            <w:vAlign w:val="center"/>
          </w:tcPr>
          <w:p w14:paraId="0622E74D">
            <w:pPr>
              <w:snapToGrid w:val="0"/>
              <w:rPr>
                <w:rFonts w:ascii="楷体_GB2312" w:eastAsia="楷体_GB2312"/>
                <w:bCs/>
                <w:color w:val="auto"/>
                <w:sz w:val="24"/>
                <w:highlight w:val="none"/>
              </w:rPr>
            </w:pPr>
            <w:r>
              <w:rPr>
                <w:rFonts w:hint="eastAsia" w:ascii="楷体_GB2312" w:hAnsi="楷体" w:eastAsia="楷体_GB2312"/>
                <w:color w:val="auto"/>
                <w:sz w:val="24"/>
                <w:highlight w:val="none"/>
              </w:rPr>
              <w:t>★</w:t>
            </w:r>
            <w:r>
              <w:rPr>
                <w:rFonts w:hint="eastAsia" w:ascii="楷体_GB2312" w:hAnsi="宋体" w:eastAsia="楷体_GB2312"/>
                <w:color w:val="auto"/>
                <w:sz w:val="24"/>
                <w:highlight w:val="none"/>
              </w:rPr>
              <w:t>产品份额类别</w:t>
            </w:r>
          </w:p>
        </w:tc>
        <w:tc>
          <w:tcPr>
            <w:tcW w:w="6656" w:type="dxa"/>
            <w:noWrap w:val="0"/>
            <w:vAlign w:val="top"/>
          </w:tcPr>
          <w:p w14:paraId="66E8D55D">
            <w:pPr>
              <w:rPr>
                <w:rFonts w:ascii="楷体_GB2312" w:hAnsi="宋体" w:eastAsia="楷体_GB2312"/>
                <w:color w:val="auto"/>
                <w:sz w:val="24"/>
                <w:highlight w:val="none"/>
              </w:rPr>
            </w:pPr>
            <w:r>
              <w:rPr>
                <w:rFonts w:ascii="楷体_GB2312" w:hAnsi="宋体" w:eastAsia="楷体_GB2312"/>
                <w:color w:val="auto"/>
                <w:sz w:val="24"/>
                <w:highlight w:val="none"/>
              </w:rPr>
              <w:t>1.</w:t>
            </w:r>
            <w:r>
              <w:rPr>
                <w:rFonts w:hint="eastAsia" w:ascii="楷体_GB2312" w:hAnsi="宋体" w:eastAsia="楷体_GB2312"/>
                <w:color w:val="auto"/>
                <w:sz w:val="24"/>
                <w:highlight w:val="none"/>
                <w:lang w:eastAsia="zh-CN"/>
              </w:rPr>
              <w:t>本理财产品</w:t>
            </w:r>
            <w:r>
              <w:rPr>
                <w:rFonts w:hint="eastAsia" w:ascii="楷体_GB2312" w:hAnsi="宋体" w:eastAsia="楷体_GB2312"/>
                <w:color w:val="auto"/>
                <w:sz w:val="24"/>
                <w:highlight w:val="none"/>
              </w:rPr>
              <w:t>根据投资者购买</w:t>
            </w:r>
            <w:r>
              <w:rPr>
                <w:rFonts w:hint="eastAsia" w:ascii="楷体_GB2312" w:hAnsi="宋体" w:eastAsia="楷体_GB2312"/>
                <w:color w:val="auto"/>
                <w:sz w:val="24"/>
                <w:highlight w:val="none"/>
                <w:lang w:val="en-US" w:eastAsia="zh-CN"/>
              </w:rPr>
              <w:t>本</w:t>
            </w:r>
            <w:r>
              <w:rPr>
                <w:rFonts w:hint="eastAsia" w:ascii="楷体_GB2312" w:hAnsi="宋体" w:eastAsia="楷体_GB2312"/>
                <w:color w:val="auto"/>
                <w:sz w:val="24"/>
                <w:highlight w:val="none"/>
              </w:rPr>
              <w:t>理财产品的金额、</w:t>
            </w:r>
            <w:r>
              <w:rPr>
                <w:rFonts w:hint="eastAsia" w:ascii="楷体_GB2312" w:hAnsi="宋体" w:eastAsia="楷体_GB2312"/>
                <w:color w:val="auto"/>
                <w:sz w:val="24"/>
                <w:highlight w:val="none"/>
                <w:lang w:val="en-US" w:eastAsia="zh-CN"/>
              </w:rPr>
              <w:t>渠道客群</w:t>
            </w:r>
            <w:r>
              <w:rPr>
                <w:rFonts w:hint="eastAsia" w:ascii="楷体_GB2312" w:hAnsi="宋体" w:eastAsia="楷体_GB2312"/>
                <w:color w:val="auto"/>
                <w:sz w:val="24"/>
                <w:highlight w:val="none"/>
              </w:rPr>
              <w:t>、代销机构等因素，</w:t>
            </w:r>
            <w:r>
              <w:rPr>
                <w:rFonts w:hint="default" w:ascii="楷体_GB2312" w:hAnsi="宋体" w:eastAsia="楷体_GB2312" w:cs="Times New Roman"/>
                <w:color w:val="auto"/>
                <w:sz w:val="24"/>
                <w:highlight w:val="none"/>
              </w:rPr>
              <w:t>对</w:t>
            </w:r>
            <w:r>
              <w:rPr>
                <w:rFonts w:hint="default" w:ascii="楷体_GB2312" w:hAnsi="宋体" w:eastAsia="楷体_GB2312" w:cs="Times New Roman"/>
                <w:color w:val="auto"/>
                <w:sz w:val="24"/>
                <w:highlight w:val="none"/>
                <w:lang w:val="en-US" w:eastAsia="zh-CN"/>
              </w:rPr>
              <w:t>本</w:t>
            </w:r>
            <w:r>
              <w:rPr>
                <w:rFonts w:hint="default" w:ascii="楷体_GB2312" w:hAnsi="宋体" w:eastAsia="楷体_GB2312" w:cs="Times New Roman"/>
                <w:color w:val="auto"/>
                <w:sz w:val="24"/>
                <w:highlight w:val="none"/>
              </w:rPr>
              <w:t>理财产品份额设置不同的理财产品份额类别</w:t>
            </w:r>
            <w:r>
              <w:rPr>
                <w:rFonts w:hint="eastAsia" w:ascii="楷体_GB2312" w:hAnsi="宋体" w:eastAsia="楷体_GB2312"/>
                <w:color w:val="auto"/>
                <w:sz w:val="24"/>
                <w:highlight w:val="none"/>
              </w:rPr>
              <w:t>。</w:t>
            </w:r>
          </w:p>
          <w:p w14:paraId="29E5D001">
            <w:pPr>
              <w:rPr>
                <w:rFonts w:ascii="楷体_GB2312" w:hAnsi="宋体" w:eastAsia="楷体_GB2312"/>
                <w:color w:val="auto"/>
                <w:sz w:val="24"/>
                <w:highlight w:val="none"/>
              </w:rPr>
            </w:pPr>
            <w:r>
              <w:rPr>
                <w:rFonts w:ascii="楷体_GB2312" w:hAnsi="宋体" w:eastAsia="楷体_GB2312"/>
                <w:color w:val="auto"/>
                <w:sz w:val="24"/>
                <w:highlight w:val="none"/>
              </w:rPr>
              <w:t>2.</w:t>
            </w:r>
            <w:r>
              <w:rPr>
                <w:rFonts w:hint="eastAsia" w:ascii="楷体_GB2312" w:hAnsi="宋体" w:eastAsia="楷体_GB2312"/>
                <w:color w:val="auto"/>
                <w:sz w:val="24"/>
                <w:highlight w:val="none"/>
                <w:lang w:eastAsia="zh-CN"/>
              </w:rPr>
              <w:t>本理财产品</w:t>
            </w:r>
            <w:r>
              <w:rPr>
                <w:rFonts w:hint="eastAsia" w:ascii="楷体_GB2312" w:hAnsi="宋体" w:eastAsia="楷体_GB2312"/>
                <w:color w:val="auto"/>
                <w:sz w:val="24"/>
                <w:highlight w:val="none"/>
              </w:rPr>
              <w:t>可能设置不同的理财产品份额，每类理财产品份额可能将单独设置以下内容：</w:t>
            </w:r>
          </w:p>
          <w:p w14:paraId="3B383A9E">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ascii="楷体_GB2312" w:hAnsi="宋体" w:eastAsia="楷体_GB2312"/>
                <w:color w:val="auto"/>
                <w:sz w:val="24"/>
                <w:highlight w:val="none"/>
              </w:rPr>
              <w:t>1</w:t>
            </w:r>
            <w:r>
              <w:rPr>
                <w:rFonts w:hint="eastAsia" w:ascii="楷体_GB2312" w:hAnsi="宋体" w:eastAsia="楷体_GB2312"/>
                <w:color w:val="auto"/>
                <w:sz w:val="24"/>
                <w:highlight w:val="none"/>
              </w:rPr>
              <w:t>）产品销售名称</w:t>
            </w:r>
          </w:p>
          <w:p w14:paraId="3CDE768C">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ascii="楷体_GB2312" w:hAnsi="宋体" w:eastAsia="楷体_GB2312"/>
                <w:color w:val="auto"/>
                <w:sz w:val="24"/>
                <w:highlight w:val="none"/>
              </w:rPr>
              <w:t>2</w:t>
            </w:r>
            <w:r>
              <w:rPr>
                <w:rFonts w:hint="eastAsia" w:ascii="楷体_GB2312" w:hAnsi="宋体" w:eastAsia="楷体_GB2312"/>
                <w:color w:val="auto"/>
                <w:sz w:val="24"/>
                <w:highlight w:val="none"/>
              </w:rPr>
              <w:t>）产品销售代码</w:t>
            </w:r>
          </w:p>
          <w:p w14:paraId="43F890A5">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ascii="楷体_GB2312" w:hAnsi="宋体" w:eastAsia="楷体_GB2312"/>
                <w:color w:val="auto"/>
                <w:sz w:val="24"/>
                <w:highlight w:val="none"/>
              </w:rPr>
              <w:t>3</w:t>
            </w:r>
            <w:r>
              <w:rPr>
                <w:rFonts w:hint="eastAsia" w:ascii="楷体_GB2312" w:hAnsi="宋体" w:eastAsia="楷体_GB2312"/>
                <w:color w:val="auto"/>
                <w:sz w:val="24"/>
                <w:highlight w:val="none"/>
              </w:rPr>
              <w:t>）代销机构</w:t>
            </w:r>
          </w:p>
          <w:p w14:paraId="3BAB07CD">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ascii="楷体_GB2312" w:hAnsi="宋体" w:eastAsia="楷体_GB2312"/>
                <w:color w:val="auto"/>
                <w:sz w:val="24"/>
                <w:highlight w:val="none"/>
              </w:rPr>
              <w:t>4</w:t>
            </w:r>
            <w:r>
              <w:rPr>
                <w:rFonts w:hint="eastAsia" w:ascii="楷体_GB2312" w:hAnsi="宋体" w:eastAsia="楷体_GB2312"/>
                <w:color w:val="auto"/>
                <w:sz w:val="24"/>
                <w:highlight w:val="none"/>
              </w:rPr>
              <w:t>）</w:t>
            </w:r>
            <w:r>
              <w:rPr>
                <w:rFonts w:hint="eastAsia" w:ascii="楷体_GB2312" w:hAnsi="宋体" w:eastAsia="楷体_GB2312"/>
                <w:color w:val="auto"/>
                <w:sz w:val="24"/>
                <w:highlight w:val="none"/>
                <w:lang w:val="en-US" w:eastAsia="zh-CN"/>
              </w:rPr>
              <w:t>渠道客群</w:t>
            </w:r>
          </w:p>
          <w:p w14:paraId="4EB37D84">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ascii="楷体_GB2312" w:hAnsi="宋体" w:eastAsia="楷体_GB2312"/>
                <w:color w:val="auto"/>
                <w:sz w:val="24"/>
                <w:highlight w:val="none"/>
              </w:rPr>
              <w:t>5</w:t>
            </w:r>
            <w:r>
              <w:rPr>
                <w:rFonts w:hint="eastAsia" w:ascii="楷体_GB2312" w:hAnsi="宋体" w:eastAsia="楷体_GB2312"/>
                <w:color w:val="auto"/>
                <w:sz w:val="24"/>
                <w:highlight w:val="none"/>
              </w:rPr>
              <w:t>）销售手续费率</w:t>
            </w:r>
          </w:p>
          <w:p w14:paraId="391E202C">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hint="eastAsia" w:ascii="楷体_GB2312" w:hAnsi="宋体" w:eastAsia="楷体_GB2312"/>
                <w:color w:val="auto"/>
                <w:sz w:val="24"/>
                <w:highlight w:val="none"/>
                <w:lang w:val="en-US" w:eastAsia="zh-CN"/>
              </w:rPr>
              <w:t>6</w:t>
            </w:r>
            <w:r>
              <w:rPr>
                <w:rFonts w:hint="eastAsia" w:ascii="楷体_GB2312" w:hAnsi="宋体" w:eastAsia="楷体_GB2312"/>
                <w:color w:val="auto"/>
                <w:sz w:val="24"/>
                <w:highlight w:val="none"/>
              </w:rPr>
              <w:t>）认购</w:t>
            </w:r>
            <w:r>
              <w:rPr>
                <w:rFonts w:ascii="楷体_GB2312" w:hAnsi="宋体" w:eastAsia="楷体_GB2312"/>
                <w:color w:val="auto"/>
                <w:sz w:val="24"/>
                <w:highlight w:val="none"/>
              </w:rPr>
              <w:t>/</w:t>
            </w:r>
            <w:r>
              <w:rPr>
                <w:rFonts w:hint="eastAsia" w:ascii="楷体_GB2312" w:hAnsi="宋体" w:eastAsia="楷体_GB2312"/>
                <w:color w:val="auto"/>
                <w:sz w:val="24"/>
                <w:highlight w:val="none"/>
              </w:rPr>
              <w:t>申购投资起点金额及递增金额</w:t>
            </w:r>
          </w:p>
          <w:p w14:paraId="50BAB5D6">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hint="eastAsia" w:ascii="楷体_GB2312" w:hAnsi="宋体" w:eastAsia="楷体_GB2312"/>
                <w:color w:val="auto"/>
                <w:sz w:val="24"/>
                <w:highlight w:val="none"/>
                <w:lang w:val="en-US" w:eastAsia="zh-CN"/>
              </w:rPr>
              <w:t>7</w:t>
            </w:r>
            <w:r>
              <w:rPr>
                <w:rFonts w:hint="eastAsia" w:ascii="楷体_GB2312" w:hAnsi="宋体" w:eastAsia="楷体_GB2312"/>
                <w:color w:val="auto"/>
                <w:sz w:val="24"/>
                <w:highlight w:val="none"/>
              </w:rPr>
              <w:t>）单笔最大购买金额、累计购买金额、最少赎回份额等认购</w:t>
            </w:r>
            <w:r>
              <w:rPr>
                <w:rFonts w:ascii="楷体_GB2312" w:hAnsi="宋体" w:eastAsia="楷体_GB2312"/>
                <w:color w:val="auto"/>
                <w:sz w:val="24"/>
                <w:highlight w:val="none"/>
              </w:rPr>
              <w:t>/</w:t>
            </w:r>
            <w:r>
              <w:rPr>
                <w:rFonts w:hint="eastAsia" w:ascii="楷体_GB2312" w:hAnsi="宋体" w:eastAsia="楷体_GB2312"/>
                <w:color w:val="auto"/>
                <w:sz w:val="24"/>
                <w:highlight w:val="none"/>
              </w:rPr>
              <w:t>申购和赎回的数量限制</w:t>
            </w:r>
          </w:p>
          <w:p w14:paraId="4E23952A">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hint="eastAsia" w:ascii="楷体_GB2312" w:hAnsi="宋体" w:eastAsia="楷体_GB2312"/>
                <w:color w:val="auto"/>
                <w:sz w:val="24"/>
                <w:highlight w:val="none"/>
                <w:lang w:val="en-US" w:eastAsia="zh-CN"/>
              </w:rPr>
              <w:t>8</w:t>
            </w:r>
            <w:r>
              <w:rPr>
                <w:rFonts w:hint="eastAsia" w:ascii="楷体_GB2312" w:hAnsi="宋体" w:eastAsia="楷体_GB2312"/>
                <w:color w:val="auto"/>
                <w:sz w:val="24"/>
                <w:highlight w:val="none"/>
              </w:rPr>
              <w:t>）最低持有份额</w:t>
            </w:r>
          </w:p>
          <w:p w14:paraId="396EEB10">
            <w:pPr>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hint="eastAsia" w:ascii="楷体_GB2312" w:hAnsi="宋体" w:eastAsia="楷体_GB2312"/>
                <w:color w:val="auto"/>
                <w:sz w:val="24"/>
                <w:highlight w:val="none"/>
                <w:lang w:val="en-US" w:eastAsia="zh-CN"/>
              </w:rPr>
              <w:t>9</w:t>
            </w:r>
            <w:r>
              <w:rPr>
                <w:rFonts w:hint="eastAsia" w:ascii="楷体_GB2312" w:hAnsi="宋体" w:eastAsia="楷体_GB2312"/>
                <w:color w:val="auto"/>
                <w:sz w:val="24"/>
                <w:highlight w:val="none"/>
              </w:rPr>
              <w:t>）产品</w:t>
            </w:r>
            <w:r>
              <w:rPr>
                <w:rFonts w:hint="eastAsia" w:ascii="楷体_GB2312" w:hAnsi="宋体" w:eastAsia="楷体_GB2312"/>
                <w:color w:val="auto"/>
                <w:sz w:val="24"/>
                <w:highlight w:val="none"/>
                <w:lang w:val="en-US" w:eastAsia="zh-CN"/>
              </w:rPr>
              <w:t>份额募集</w:t>
            </w:r>
            <w:r>
              <w:rPr>
                <w:rFonts w:hint="eastAsia" w:ascii="楷体_GB2312" w:hAnsi="宋体" w:eastAsia="楷体_GB2312"/>
                <w:color w:val="auto"/>
                <w:sz w:val="24"/>
                <w:highlight w:val="none"/>
              </w:rPr>
              <w:t>上限</w:t>
            </w:r>
          </w:p>
          <w:p w14:paraId="320A9016">
            <w:pPr>
              <w:rPr>
                <w:rFonts w:ascii="楷体_GB2312" w:hAnsi="宋体" w:eastAsia="楷体_GB2312"/>
                <w:b/>
                <w:color w:val="auto"/>
                <w:sz w:val="24"/>
                <w:highlight w:val="none"/>
              </w:rPr>
            </w:pPr>
            <w:r>
              <w:rPr>
                <w:rFonts w:ascii="楷体_GB2312" w:hAnsi="宋体" w:eastAsia="楷体_GB2312"/>
                <w:b/>
                <w:color w:val="auto"/>
                <w:sz w:val="24"/>
                <w:highlight w:val="none"/>
              </w:rPr>
              <w:t>3.</w:t>
            </w:r>
            <w:r>
              <w:rPr>
                <w:rFonts w:hint="eastAsia" w:ascii="楷体_GB2312" w:hAnsi="宋体" w:eastAsia="楷体_GB2312"/>
                <w:b/>
                <w:color w:val="auto"/>
                <w:sz w:val="24"/>
                <w:highlight w:val="none"/>
              </w:rPr>
              <w:t>投资者可根据实际情况自行选择认购</w:t>
            </w:r>
            <w:r>
              <w:rPr>
                <w:rFonts w:ascii="楷体_GB2312" w:hAnsi="宋体" w:eastAsia="楷体_GB2312"/>
                <w:b/>
                <w:color w:val="auto"/>
                <w:sz w:val="24"/>
                <w:highlight w:val="none"/>
              </w:rPr>
              <w:t>/</w:t>
            </w:r>
            <w:r>
              <w:rPr>
                <w:rFonts w:hint="eastAsia" w:ascii="楷体_GB2312" w:hAnsi="宋体" w:eastAsia="楷体_GB2312"/>
                <w:b/>
                <w:color w:val="auto"/>
                <w:sz w:val="24"/>
                <w:highlight w:val="none"/>
              </w:rPr>
              <w:t>申购的产品份额类别。</w:t>
            </w:r>
          </w:p>
          <w:p w14:paraId="5E6F7D6F">
            <w:pPr>
              <w:rPr>
                <w:rFonts w:ascii="楷体_GB2312" w:hAnsi="宋体" w:eastAsia="楷体_GB2312"/>
                <w:b/>
                <w:color w:val="auto"/>
                <w:sz w:val="24"/>
                <w:highlight w:val="none"/>
              </w:rPr>
            </w:pPr>
            <w:r>
              <w:rPr>
                <w:rFonts w:hint="eastAsia" w:ascii="楷体_GB2312" w:hAnsi="宋体" w:eastAsia="楷体_GB2312"/>
                <w:b/>
                <w:color w:val="auto"/>
                <w:sz w:val="24"/>
                <w:highlight w:val="none"/>
              </w:rPr>
              <w:t>不同类别的理财产品份额可能在信息披露渠道、销售手续费率等方面存在差异，具体以</w:t>
            </w:r>
            <w:r>
              <w:rPr>
                <w:rFonts w:hint="eastAsia" w:ascii="楷体_GB2312" w:hAnsi="宋体" w:eastAsia="楷体_GB2312"/>
                <w:b/>
                <w:color w:val="auto"/>
                <w:sz w:val="24"/>
                <w:highlight w:val="none"/>
                <w:lang w:val="en-US" w:eastAsia="zh-CN"/>
              </w:rPr>
              <w:t>其</w:t>
            </w:r>
            <w:r>
              <w:rPr>
                <w:rFonts w:hint="eastAsia" w:ascii="楷体_GB2312" w:hAnsi="宋体" w:eastAsia="楷体_GB2312"/>
                <w:b/>
                <w:color w:val="auto"/>
                <w:sz w:val="24"/>
                <w:highlight w:val="none"/>
              </w:rPr>
              <w:t>对应的理财产品</w:t>
            </w:r>
            <w:r>
              <w:rPr>
                <w:rFonts w:hint="eastAsia" w:ascii="楷体_GB2312" w:hAnsi="宋体" w:eastAsia="楷体_GB2312"/>
                <w:b/>
                <w:color w:val="auto"/>
                <w:sz w:val="24"/>
                <w:highlight w:val="none"/>
                <w:lang w:val="en-US" w:eastAsia="zh-CN"/>
              </w:rPr>
              <w:t>销售</w:t>
            </w:r>
            <w:r>
              <w:rPr>
                <w:rFonts w:hint="eastAsia" w:ascii="楷体_GB2312" w:hAnsi="宋体" w:eastAsia="楷体_GB2312"/>
                <w:b/>
                <w:color w:val="auto"/>
                <w:sz w:val="24"/>
                <w:highlight w:val="none"/>
              </w:rPr>
              <w:t>文件之约定为准。</w:t>
            </w:r>
          </w:p>
          <w:p w14:paraId="6BE6ED21">
            <w:pPr>
              <w:rPr>
                <w:rFonts w:ascii="楷体_GB2312" w:hAnsi="宋体" w:eastAsia="楷体_GB2312"/>
                <w:b/>
                <w:color w:val="auto"/>
                <w:sz w:val="24"/>
                <w:highlight w:val="none"/>
              </w:rPr>
            </w:pPr>
            <w:r>
              <w:rPr>
                <w:rFonts w:hint="eastAsia" w:ascii="楷体_GB2312" w:hAnsi="宋体" w:eastAsia="楷体_GB2312"/>
                <w:b/>
                <w:color w:val="auto"/>
                <w:sz w:val="24"/>
                <w:highlight w:val="none"/>
              </w:rPr>
              <w:t>本理财产品</w:t>
            </w:r>
            <w:r>
              <w:rPr>
                <w:rFonts w:hint="eastAsia" w:ascii="楷体_GB2312" w:hAnsi="宋体" w:eastAsia="楷体_GB2312"/>
                <w:b/>
                <w:color w:val="auto"/>
                <w:sz w:val="24"/>
                <w:highlight w:val="none"/>
                <w:lang w:val="en-US" w:eastAsia="zh-CN"/>
              </w:rPr>
              <w:t>销售</w:t>
            </w:r>
            <w:r>
              <w:rPr>
                <w:rFonts w:hint="eastAsia" w:ascii="楷体_GB2312" w:hAnsi="宋体" w:eastAsia="楷体_GB2312"/>
                <w:b/>
                <w:color w:val="auto"/>
                <w:sz w:val="24"/>
                <w:highlight w:val="none"/>
              </w:rPr>
              <w:t>文件所列示产品份额类别仅为</w:t>
            </w:r>
            <w:r>
              <w:rPr>
                <w:rFonts w:hint="eastAsia" w:ascii="楷体_GB2312" w:hAnsi="宋体" w:eastAsia="楷体_GB2312"/>
                <w:b/>
                <w:color w:val="auto"/>
                <w:sz w:val="24"/>
                <w:highlight w:val="none"/>
                <w:lang w:eastAsia="zh-CN"/>
              </w:rPr>
              <w:t>本理财产品</w:t>
            </w:r>
            <w:r>
              <w:rPr>
                <w:rFonts w:hint="eastAsia" w:ascii="楷体_GB2312" w:hAnsi="宋体" w:eastAsia="楷体_GB2312"/>
                <w:b/>
                <w:color w:val="auto"/>
                <w:sz w:val="24"/>
                <w:highlight w:val="none"/>
              </w:rPr>
              <w:t>项下某一类产品份额类别，其他类别的产品份额项下相关约定以</w:t>
            </w:r>
            <w:r>
              <w:rPr>
                <w:rFonts w:hint="eastAsia" w:ascii="楷体_GB2312" w:hAnsi="宋体" w:eastAsia="楷体_GB2312"/>
                <w:b/>
                <w:color w:val="auto"/>
                <w:sz w:val="24"/>
                <w:highlight w:val="none"/>
                <w:lang w:val="en-US" w:eastAsia="zh-CN"/>
              </w:rPr>
              <w:t>其</w:t>
            </w:r>
            <w:r>
              <w:rPr>
                <w:rFonts w:hint="eastAsia" w:ascii="楷体_GB2312" w:hAnsi="宋体" w:eastAsia="楷体_GB2312"/>
                <w:b/>
                <w:color w:val="auto"/>
                <w:sz w:val="24"/>
                <w:highlight w:val="none"/>
              </w:rPr>
              <w:t>对应的理财产品</w:t>
            </w:r>
            <w:r>
              <w:rPr>
                <w:rFonts w:hint="eastAsia" w:ascii="楷体_GB2312" w:hAnsi="宋体" w:eastAsia="楷体_GB2312"/>
                <w:b/>
                <w:color w:val="auto"/>
                <w:sz w:val="24"/>
                <w:highlight w:val="none"/>
                <w:lang w:val="en-US" w:eastAsia="zh-CN"/>
              </w:rPr>
              <w:t>销售</w:t>
            </w:r>
            <w:r>
              <w:rPr>
                <w:rFonts w:hint="eastAsia" w:ascii="楷体_GB2312" w:hAnsi="宋体" w:eastAsia="楷体_GB2312"/>
                <w:b/>
                <w:color w:val="auto"/>
                <w:sz w:val="24"/>
                <w:highlight w:val="none"/>
              </w:rPr>
              <w:t>文件及</w:t>
            </w:r>
            <w:r>
              <w:rPr>
                <w:rFonts w:hint="eastAsia" w:ascii="楷体_GB2312" w:hAnsi="宋体" w:eastAsia="楷体_GB2312"/>
                <w:b/>
                <w:color w:val="auto"/>
                <w:sz w:val="24"/>
                <w:highlight w:val="none"/>
                <w:lang w:eastAsia="zh-CN"/>
              </w:rPr>
              <w:t>产品管理人</w:t>
            </w:r>
            <w:r>
              <w:rPr>
                <w:rFonts w:hint="eastAsia" w:ascii="楷体_GB2312" w:hAnsi="宋体" w:eastAsia="楷体_GB2312"/>
                <w:b/>
                <w:color w:val="auto"/>
                <w:sz w:val="24"/>
                <w:highlight w:val="none"/>
              </w:rPr>
              <w:t>的信息披露为准。</w:t>
            </w:r>
          </w:p>
          <w:p w14:paraId="323B0384">
            <w:pPr>
              <w:rPr>
                <w:rFonts w:ascii="楷体_GB2312" w:hAnsi="宋体" w:eastAsia="楷体_GB2312"/>
                <w:color w:val="auto"/>
                <w:sz w:val="24"/>
                <w:highlight w:val="none"/>
              </w:rPr>
            </w:pPr>
            <w:r>
              <w:rPr>
                <w:rFonts w:hint="eastAsia" w:ascii="楷体_GB2312" w:hAnsi="宋体" w:eastAsia="楷体_GB2312"/>
                <w:b/>
                <w:color w:val="auto"/>
                <w:sz w:val="24"/>
                <w:highlight w:val="none"/>
                <w:lang w:eastAsia="zh-CN"/>
              </w:rPr>
              <w:t>产品管理人</w:t>
            </w:r>
            <w:r>
              <w:rPr>
                <w:rFonts w:hint="eastAsia" w:ascii="楷体_GB2312" w:hAnsi="宋体" w:eastAsia="楷体_GB2312"/>
                <w:b/>
                <w:color w:val="auto"/>
                <w:sz w:val="24"/>
                <w:highlight w:val="none"/>
              </w:rPr>
              <w:t>有权在本理财产品项下增设新的产品份额类别，届时，</w:t>
            </w:r>
            <w:r>
              <w:rPr>
                <w:rFonts w:hint="eastAsia" w:ascii="楷体_GB2312" w:hAnsi="宋体" w:eastAsia="楷体_GB2312"/>
                <w:b/>
                <w:color w:val="auto"/>
                <w:sz w:val="24"/>
                <w:highlight w:val="none"/>
                <w:lang w:eastAsia="zh-CN"/>
              </w:rPr>
              <w:t>产品管理人</w:t>
            </w:r>
            <w:r>
              <w:rPr>
                <w:rFonts w:hint="eastAsia" w:ascii="楷体_GB2312" w:hAnsi="宋体" w:eastAsia="楷体_GB2312"/>
                <w:b/>
                <w:color w:val="auto"/>
                <w:sz w:val="24"/>
                <w:highlight w:val="none"/>
              </w:rPr>
              <w:t>将依据本理财产品</w:t>
            </w:r>
            <w:r>
              <w:rPr>
                <w:rFonts w:hint="eastAsia" w:ascii="楷体_GB2312" w:hAnsi="宋体" w:eastAsia="楷体_GB2312"/>
                <w:b/>
                <w:color w:val="auto"/>
                <w:sz w:val="24"/>
                <w:highlight w:val="none"/>
                <w:lang w:val="en-US" w:eastAsia="zh-CN"/>
              </w:rPr>
              <w:t>销售</w:t>
            </w:r>
            <w:r>
              <w:rPr>
                <w:rFonts w:hint="eastAsia" w:ascii="楷体_GB2312" w:hAnsi="宋体" w:eastAsia="楷体_GB2312"/>
                <w:b/>
                <w:color w:val="auto"/>
                <w:sz w:val="24"/>
                <w:highlight w:val="none"/>
              </w:rPr>
              <w:t>文件的约定进行信息披露。</w:t>
            </w:r>
          </w:p>
        </w:tc>
      </w:tr>
      <w:tr w14:paraId="114E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2428" w:type="dxa"/>
            <w:noWrap w:val="0"/>
            <w:vAlign w:val="center"/>
          </w:tcPr>
          <w:p w14:paraId="517FD3B5">
            <w:pPr>
              <w:snapToGrid w:val="0"/>
              <w:rPr>
                <w:rFonts w:ascii="楷体_GB2312" w:eastAsia="楷体_GB2312"/>
                <w:bCs/>
                <w:color w:val="auto"/>
                <w:sz w:val="24"/>
                <w:highlight w:val="none"/>
              </w:rPr>
            </w:pPr>
            <w:r>
              <w:rPr>
                <w:rFonts w:hint="eastAsia" w:ascii="楷体_GB2312" w:eastAsia="楷体_GB2312"/>
                <w:bCs/>
                <w:color w:val="auto"/>
                <w:sz w:val="24"/>
                <w:highlight w:val="none"/>
              </w:rPr>
              <w:t>投资及收益币种</w:t>
            </w:r>
          </w:p>
        </w:tc>
        <w:tc>
          <w:tcPr>
            <w:tcW w:w="6656" w:type="dxa"/>
            <w:noWrap w:val="0"/>
            <w:vAlign w:val="top"/>
          </w:tcPr>
          <w:p w14:paraId="5A464C28">
            <w:pPr>
              <w:rPr>
                <w:rFonts w:hint="eastAsia" w:ascii="楷体_GB2312" w:hAnsi="宋体" w:eastAsia="楷体_GB2312"/>
                <w:color w:val="auto"/>
                <w:sz w:val="24"/>
                <w:highlight w:val="none"/>
                <w:lang w:val="en-US" w:eastAsia="zh-CN"/>
              </w:rPr>
            </w:pPr>
            <w:r>
              <w:rPr>
                <w:rFonts w:hint="eastAsia" w:ascii="楷体_GB2312" w:hAnsi="宋体" w:eastAsia="楷体_GB2312"/>
                <w:color w:val="auto"/>
                <w:sz w:val="24"/>
                <w:highlight w:val="none"/>
                <w:lang w:val="en-US" w:eastAsia="zh-CN"/>
              </w:rPr>
              <w:t>人民币</w:t>
            </w:r>
          </w:p>
        </w:tc>
      </w:tr>
      <w:tr w14:paraId="3147F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62D969AE">
            <w:pPr>
              <w:snapToGrid w:val="0"/>
              <w:rPr>
                <w:rFonts w:ascii="楷体_GB2312" w:eastAsia="楷体_GB2312"/>
                <w:bCs/>
                <w:color w:val="auto"/>
                <w:sz w:val="24"/>
                <w:highlight w:val="none"/>
              </w:rPr>
            </w:pPr>
            <w:r>
              <w:rPr>
                <w:rFonts w:hint="eastAsia" w:ascii="楷体_GB2312" w:eastAsia="楷体_GB2312"/>
                <w:bCs/>
                <w:color w:val="auto"/>
                <w:sz w:val="24"/>
                <w:highlight w:val="none"/>
              </w:rPr>
              <w:t>募集方式</w:t>
            </w:r>
          </w:p>
        </w:tc>
        <w:tc>
          <w:tcPr>
            <w:tcW w:w="6656" w:type="dxa"/>
            <w:noWrap w:val="0"/>
            <w:vAlign w:val="top"/>
          </w:tcPr>
          <w:p w14:paraId="115EAE1D">
            <w:pPr>
              <w:rPr>
                <w:rFonts w:ascii="楷体_GB2312" w:hAnsi="宋体" w:eastAsia="楷体_GB2312"/>
                <w:color w:val="auto"/>
                <w:sz w:val="24"/>
                <w:highlight w:val="none"/>
              </w:rPr>
            </w:pPr>
            <w:r>
              <w:rPr>
                <w:rFonts w:hint="eastAsia" w:ascii="楷体_GB2312" w:hAnsi="宋体" w:eastAsia="楷体_GB2312"/>
                <w:color w:val="auto"/>
                <w:sz w:val="24"/>
                <w:highlight w:val="none"/>
              </w:rPr>
              <w:t>公募</w:t>
            </w:r>
          </w:p>
        </w:tc>
      </w:tr>
      <w:tr w14:paraId="5E589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5D40A0F2">
            <w:pPr>
              <w:snapToGrid w:val="0"/>
              <w:rPr>
                <w:rFonts w:ascii="楷体_GB2312" w:eastAsia="楷体_GB2312"/>
                <w:bCs/>
                <w:color w:val="auto"/>
                <w:sz w:val="24"/>
                <w:highlight w:val="none"/>
              </w:rPr>
            </w:pPr>
            <w:r>
              <w:rPr>
                <w:rFonts w:hint="eastAsia" w:ascii="楷体_GB2312" w:eastAsia="楷体_GB2312"/>
                <w:bCs/>
                <w:color w:val="auto"/>
                <w:sz w:val="24"/>
                <w:highlight w:val="none"/>
                <w:lang w:val="en-US" w:eastAsia="zh-CN"/>
              </w:rPr>
              <w:t>产品</w:t>
            </w:r>
            <w:r>
              <w:rPr>
                <w:rFonts w:hint="eastAsia" w:ascii="楷体_GB2312" w:eastAsia="楷体_GB2312"/>
                <w:bCs/>
                <w:color w:val="auto"/>
                <w:sz w:val="24"/>
                <w:highlight w:val="none"/>
              </w:rPr>
              <w:t>运作</w:t>
            </w:r>
            <w:r>
              <w:rPr>
                <w:rFonts w:hint="eastAsia" w:ascii="楷体_GB2312" w:eastAsia="楷体_GB2312"/>
                <w:bCs/>
                <w:color w:val="auto"/>
                <w:sz w:val="24"/>
                <w:highlight w:val="none"/>
                <w:lang w:val="en-US" w:eastAsia="zh-CN"/>
              </w:rPr>
              <w:t>模</w:t>
            </w:r>
            <w:r>
              <w:rPr>
                <w:rFonts w:hint="eastAsia" w:ascii="楷体_GB2312" w:eastAsia="楷体_GB2312"/>
                <w:bCs/>
                <w:color w:val="auto"/>
                <w:sz w:val="24"/>
                <w:highlight w:val="none"/>
              </w:rPr>
              <w:t>式</w:t>
            </w:r>
          </w:p>
        </w:tc>
        <w:tc>
          <w:tcPr>
            <w:tcW w:w="6656" w:type="dxa"/>
            <w:noWrap w:val="0"/>
            <w:vAlign w:val="top"/>
          </w:tcPr>
          <w:p w14:paraId="55D15D9E">
            <w:pPr>
              <w:rPr>
                <w:rFonts w:hint="default" w:ascii="楷体_GB2312" w:hAnsi="宋体" w:eastAsia="楷体_GB2312"/>
                <w:color w:val="auto"/>
                <w:sz w:val="24"/>
                <w:highlight w:val="none"/>
                <w:lang w:val="en-US" w:eastAsia="zh-CN"/>
              </w:rPr>
            </w:pPr>
            <w:r>
              <w:rPr>
                <w:rFonts w:hint="eastAsia" w:ascii="楷体_GB2312" w:hAnsi="楷体" w:eastAsia="楷体_GB2312"/>
                <w:sz w:val="24"/>
                <w:highlight w:val="none"/>
              </w:rPr>
              <w:t>封闭式</w:t>
            </w:r>
            <w:r>
              <w:rPr>
                <w:rFonts w:hint="eastAsia" w:ascii="楷体_GB2312" w:hAnsi="宋体" w:eastAsia="楷体_GB2312"/>
                <w:color w:val="auto"/>
                <w:sz w:val="24"/>
                <w:highlight w:val="none"/>
                <w:lang w:val="en-US" w:eastAsia="zh-CN"/>
              </w:rPr>
              <w:t>净值型</w:t>
            </w:r>
          </w:p>
        </w:tc>
      </w:tr>
      <w:tr w14:paraId="239A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6C28E1A3">
            <w:pPr>
              <w:snapToGrid w:val="0"/>
              <w:rPr>
                <w:rFonts w:ascii="楷体_GB2312" w:eastAsia="楷体_GB2312"/>
                <w:bCs/>
                <w:color w:val="auto"/>
                <w:sz w:val="24"/>
                <w:highlight w:val="none"/>
              </w:rPr>
            </w:pPr>
            <w:r>
              <w:rPr>
                <w:rFonts w:hint="eastAsia" w:ascii="楷体_GB2312" w:hAnsi="宋体" w:eastAsia="楷体_GB2312"/>
                <w:b/>
                <w:bCs/>
                <w:color w:val="auto"/>
                <w:sz w:val="24"/>
                <w:highlight w:val="none"/>
              </w:rPr>
              <w:t>★</w:t>
            </w:r>
            <w:r>
              <w:rPr>
                <w:rFonts w:hint="eastAsia" w:ascii="楷体_GB2312" w:eastAsia="楷体_GB2312"/>
                <w:bCs/>
                <w:color w:val="auto"/>
                <w:sz w:val="24"/>
                <w:highlight w:val="none"/>
              </w:rPr>
              <w:t>产品类型</w:t>
            </w:r>
          </w:p>
        </w:tc>
        <w:tc>
          <w:tcPr>
            <w:tcW w:w="6656" w:type="dxa"/>
            <w:noWrap w:val="0"/>
            <w:vAlign w:val="top"/>
          </w:tcPr>
          <w:p w14:paraId="01BE6271">
            <w:pPr>
              <w:rPr>
                <w:rFonts w:hint="eastAsia" w:ascii="楷体_GB2312" w:hAnsi="宋体" w:eastAsia="楷体_GB2312"/>
                <w:color w:val="auto"/>
                <w:sz w:val="24"/>
                <w:highlight w:val="none"/>
                <w:lang w:eastAsia="zh-CN"/>
              </w:rPr>
            </w:pPr>
            <w:r>
              <w:rPr>
                <w:rFonts w:hint="eastAsia" w:ascii="楷体_GB2312" w:eastAsia="楷体_GB2312"/>
                <w:bCs/>
                <w:color w:val="auto"/>
                <w:sz w:val="24"/>
                <w:highlight w:val="none"/>
                <w:lang w:val="en-US" w:eastAsia="zh-CN"/>
              </w:rPr>
              <w:t>固定收益类</w:t>
            </w:r>
            <w:r>
              <w:rPr>
                <w:rFonts w:hint="eastAsia" w:ascii="楷体_GB2312" w:hAnsi="宋体" w:eastAsia="楷体_GB2312"/>
                <w:color w:val="auto"/>
                <w:sz w:val="24"/>
                <w:highlight w:val="none"/>
                <w:lang w:eastAsia="zh-CN"/>
              </w:rPr>
              <w:t>、</w:t>
            </w:r>
            <w:r>
              <w:rPr>
                <w:rFonts w:hint="eastAsia" w:ascii="楷体_GB2312" w:hAnsi="楷体" w:eastAsia="楷体_GB2312"/>
                <w:b w:val="0"/>
                <w:bCs w:val="0"/>
                <w:color w:val="auto"/>
                <w:sz w:val="24"/>
                <w:highlight w:val="none"/>
                <w:lang w:eastAsia="zh-Hans"/>
              </w:rPr>
              <w:t>非保本浮动收益</w:t>
            </w:r>
            <w:r>
              <w:rPr>
                <w:rFonts w:hint="eastAsia" w:ascii="楷体_GB2312" w:hAnsi="楷体" w:eastAsia="楷体_GB2312"/>
                <w:b w:val="0"/>
                <w:bCs w:val="0"/>
                <w:color w:val="auto"/>
                <w:sz w:val="24"/>
                <w:highlight w:val="none"/>
                <w:lang w:val="en-US" w:eastAsia="zh-CN"/>
              </w:rPr>
              <w:t>型</w:t>
            </w:r>
          </w:p>
        </w:tc>
      </w:tr>
      <w:tr w14:paraId="354CB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4FC16C76">
            <w:pPr>
              <w:snapToGrid w:val="0"/>
              <w:rPr>
                <w:rFonts w:ascii="楷体_GB2312" w:eastAsia="楷体_GB2312"/>
                <w:bCs/>
                <w:color w:val="000000"/>
                <w:sz w:val="24"/>
                <w:highlight w:val="none"/>
              </w:rPr>
            </w:pPr>
            <w:r>
              <w:rPr>
                <w:rFonts w:hint="eastAsia" w:ascii="楷体_GB2312" w:eastAsia="楷体_GB2312"/>
                <w:bCs/>
                <w:color w:val="000000"/>
                <w:sz w:val="24"/>
                <w:highlight w:val="none"/>
              </w:rPr>
              <w:t>适合的投资者</w:t>
            </w:r>
          </w:p>
        </w:tc>
        <w:tc>
          <w:tcPr>
            <w:tcW w:w="6656" w:type="dxa"/>
            <w:noWrap w:val="0"/>
            <w:vAlign w:val="top"/>
          </w:tcPr>
          <w:p w14:paraId="66FA2AF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_GB2312" w:hAnsi="Times New Roman" w:eastAsia="楷体_GB2312" w:cs="Times New Roman"/>
                <w:b w:val="0"/>
                <w:bCs/>
                <w:color w:val="auto"/>
                <w:sz w:val="24"/>
                <w:szCs w:val="24"/>
                <w:highlight w:val="none"/>
                <w:lang w:val="en-US" w:eastAsia="zh-CN"/>
              </w:rPr>
            </w:pPr>
            <w:r>
              <w:rPr>
                <w:rFonts w:hint="eastAsia" w:ascii="楷体_GB2312" w:hAnsi="Times New Roman" w:eastAsia="楷体_GB2312" w:cs="Times New Roman"/>
                <w:b w:val="0"/>
                <w:bCs/>
                <w:color w:val="auto"/>
                <w:sz w:val="24"/>
                <w:szCs w:val="24"/>
                <w:highlight w:val="none"/>
                <w:lang w:eastAsia="zh-CN"/>
              </w:rPr>
              <w:t>符合相关法律法规、监管规定要求的自然人、法人和其他组织。</w:t>
            </w:r>
            <w:r>
              <w:rPr>
                <w:rFonts w:hint="eastAsia" w:ascii="楷体_GB2312" w:hAnsi="Times New Roman" w:eastAsia="楷体_GB2312" w:cs="Times New Roman"/>
                <w:b w:val="0"/>
                <w:bCs/>
                <w:color w:val="auto"/>
                <w:sz w:val="24"/>
                <w:szCs w:val="24"/>
                <w:highlight w:val="none"/>
                <w:lang w:val="en-US" w:eastAsia="zh-CN"/>
              </w:rPr>
              <w:t>投资者</w:t>
            </w:r>
            <w:r>
              <w:rPr>
                <w:rFonts w:hint="eastAsia" w:ascii="楷体_GB2312" w:hAnsi="Times New Roman" w:eastAsia="楷体_GB2312" w:cs="Times New Roman"/>
                <w:b w:val="0"/>
                <w:bCs/>
                <w:color w:val="auto"/>
                <w:sz w:val="24"/>
                <w:szCs w:val="24"/>
                <w:highlight w:val="none"/>
                <w:lang w:eastAsia="zh-CN"/>
              </w:rPr>
              <w:t>经</w:t>
            </w:r>
            <w:r>
              <w:rPr>
                <w:rFonts w:hint="eastAsia" w:ascii="楷体_GB2312" w:hAnsi="Times New Roman" w:eastAsia="楷体_GB2312" w:cs="Times New Roman"/>
                <w:b w:val="0"/>
                <w:bCs/>
                <w:color w:val="auto"/>
                <w:sz w:val="24"/>
                <w:szCs w:val="24"/>
                <w:highlight w:val="none"/>
                <w:lang w:val="en-US" w:eastAsia="zh-CN"/>
              </w:rPr>
              <w:t>代理销售</w:t>
            </w:r>
            <w:r>
              <w:rPr>
                <w:rFonts w:hint="eastAsia" w:ascii="楷体_GB2312" w:hAnsi="Times New Roman" w:eastAsia="楷体_GB2312" w:cs="Times New Roman"/>
                <w:b w:val="0"/>
                <w:bCs/>
                <w:color w:val="auto"/>
                <w:sz w:val="24"/>
                <w:szCs w:val="24"/>
                <w:highlight w:val="none"/>
                <w:lang w:eastAsia="zh-CN"/>
              </w:rPr>
              <w:t>机构</w:t>
            </w:r>
            <w:r>
              <w:rPr>
                <w:rFonts w:hint="eastAsia" w:ascii="楷体_GB2312" w:hAnsi="Times New Roman" w:eastAsia="楷体_GB2312" w:cs="Times New Roman"/>
                <w:b w:val="0"/>
                <w:bCs/>
                <w:color w:val="auto"/>
                <w:sz w:val="24"/>
                <w:szCs w:val="24"/>
                <w:highlight w:val="none"/>
                <w:lang w:val="en-US" w:eastAsia="zh-CN"/>
              </w:rPr>
              <w:t>评估</w:t>
            </w:r>
            <w:r>
              <w:rPr>
                <w:rFonts w:hint="eastAsia" w:ascii="楷体_GB2312" w:hAnsi="Times New Roman" w:eastAsia="楷体_GB2312" w:cs="Times New Roman"/>
                <w:b w:val="0"/>
                <w:bCs/>
                <w:color w:val="auto"/>
                <w:sz w:val="24"/>
                <w:szCs w:val="24"/>
                <w:highlight w:val="none"/>
                <w:lang w:eastAsia="zh-CN"/>
              </w:rPr>
              <w:t>的投资者风险承受能力等级</w:t>
            </w:r>
            <w:r>
              <w:rPr>
                <w:rFonts w:hint="eastAsia" w:ascii="楷体_GB2312" w:hAnsi="Times New Roman" w:eastAsia="楷体_GB2312" w:cs="Times New Roman"/>
                <w:b w:val="0"/>
                <w:bCs/>
                <w:color w:val="auto"/>
                <w:sz w:val="24"/>
                <w:szCs w:val="24"/>
                <w:highlight w:val="none"/>
                <w:lang w:val="en-US" w:eastAsia="zh-CN"/>
              </w:rPr>
              <w:t>须</w:t>
            </w:r>
            <w:r>
              <w:rPr>
                <w:rFonts w:hint="eastAsia" w:ascii="楷体_GB2312" w:hAnsi="Times New Roman" w:eastAsia="楷体_GB2312" w:cs="Times New Roman"/>
                <w:b w:val="0"/>
                <w:bCs/>
                <w:color w:val="auto"/>
                <w:sz w:val="24"/>
                <w:szCs w:val="24"/>
                <w:highlight w:val="none"/>
                <w:lang w:eastAsia="zh-CN"/>
              </w:rPr>
              <w:t>不低于本理财产品风险评级</w:t>
            </w:r>
            <w:r>
              <w:rPr>
                <w:rFonts w:hint="eastAsia" w:ascii="楷体_GB2312" w:hAnsi="Times New Roman" w:eastAsia="楷体_GB2312" w:cs="Times New Roman"/>
                <w:b w:val="0"/>
                <w:bCs/>
                <w:color w:val="auto"/>
                <w:sz w:val="24"/>
                <w:szCs w:val="24"/>
                <w:highlight w:val="none"/>
                <w:lang w:val="en-US" w:eastAsia="zh-CN"/>
              </w:rPr>
              <w:t>结果</w:t>
            </w:r>
            <w:r>
              <w:rPr>
                <w:rFonts w:hint="eastAsia" w:ascii="楷体_GB2312" w:hAnsi="Times New Roman" w:eastAsia="楷体_GB2312" w:cs="Times New Roman"/>
                <w:b w:val="0"/>
                <w:bCs/>
                <w:color w:val="auto"/>
                <w:sz w:val="24"/>
                <w:szCs w:val="24"/>
                <w:highlight w:val="none"/>
                <w:lang w:eastAsia="zh-CN"/>
              </w:rPr>
              <w:t>（本理财产品通过代销机构销售的，销售客群最终以代销机构要求为准）。</w:t>
            </w:r>
          </w:p>
          <w:p w14:paraId="1E4C417D">
            <w:pPr>
              <w:rPr>
                <w:rFonts w:ascii="楷体_GB2312" w:hAnsi="宋体" w:eastAsia="楷体_GB2312"/>
                <w:color w:val="000000"/>
                <w:sz w:val="24"/>
                <w:highlight w:val="none"/>
              </w:rPr>
            </w:pPr>
            <w:r>
              <w:rPr>
                <w:rFonts w:hint="eastAsia" w:ascii="楷体_GB2312" w:hAnsi="宋体" w:eastAsia="楷体_GB2312"/>
                <w:color w:val="000000"/>
                <w:sz w:val="24"/>
                <w:highlight w:val="none"/>
              </w:rPr>
              <w:t>★</w:t>
            </w:r>
            <w:r>
              <w:rPr>
                <w:rFonts w:hint="eastAsia" w:ascii="楷体_GB2312" w:hAnsi="宋体" w:eastAsia="楷体_GB2312"/>
                <w:b/>
                <w:color w:val="000000"/>
                <w:sz w:val="24"/>
                <w:highlight w:val="none"/>
              </w:rPr>
              <w:t>本理财产品不允许单一投资者持有份额超过本理财产品总份额的50%。</w:t>
            </w:r>
          </w:p>
        </w:tc>
      </w:tr>
      <w:tr w14:paraId="1C28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43AB103A">
            <w:pPr>
              <w:snapToGrid w:val="0"/>
              <w:rPr>
                <w:rFonts w:hint="eastAsia" w:ascii="楷体_GB2312" w:eastAsia="楷体_GB2312"/>
                <w:bCs/>
                <w:color w:val="auto"/>
                <w:sz w:val="24"/>
                <w:highlight w:val="none"/>
                <w:lang w:eastAsia="zh-CN"/>
              </w:rPr>
            </w:pPr>
            <w:r>
              <w:rPr>
                <w:rFonts w:hint="eastAsia" w:ascii="楷体_GB2312" w:eastAsia="楷体_GB2312"/>
                <w:bCs/>
                <w:color w:val="auto"/>
                <w:sz w:val="24"/>
                <w:highlight w:val="none"/>
                <w:lang w:eastAsia="zh-CN"/>
              </w:rPr>
              <w:t>产品管理人</w:t>
            </w:r>
          </w:p>
        </w:tc>
        <w:tc>
          <w:tcPr>
            <w:tcW w:w="6656" w:type="dxa"/>
            <w:noWrap w:val="0"/>
            <w:vAlign w:val="top"/>
          </w:tcPr>
          <w:p w14:paraId="30EDE61F">
            <w:pPr>
              <w:rPr>
                <w:rFonts w:ascii="楷体_GB2312" w:hAnsi="宋体" w:eastAsia="楷体_GB2312"/>
                <w:color w:val="auto"/>
                <w:sz w:val="24"/>
                <w:highlight w:val="none"/>
              </w:rPr>
            </w:pPr>
            <w:r>
              <w:rPr>
                <w:rFonts w:ascii="楷体_GB2312" w:hAnsi="宋体" w:eastAsia="楷体_GB2312"/>
                <w:color w:val="auto"/>
                <w:sz w:val="24"/>
                <w:highlight w:val="none"/>
              </w:rPr>
              <w:t>北银理财有限责任公司</w:t>
            </w:r>
          </w:p>
        </w:tc>
      </w:tr>
      <w:tr w14:paraId="5DB47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072EFE69">
            <w:pPr>
              <w:snapToGrid w:val="0"/>
              <w:rPr>
                <w:rFonts w:hint="default" w:ascii="楷体_GB2312" w:eastAsia="楷体_GB2312"/>
                <w:bCs/>
                <w:color w:val="auto"/>
                <w:sz w:val="24"/>
                <w:highlight w:val="none"/>
                <w:lang w:val="en-US" w:eastAsia="zh-CN"/>
              </w:rPr>
            </w:pPr>
            <w:r>
              <w:rPr>
                <w:rFonts w:hint="eastAsia" w:ascii="楷体_GB2312" w:eastAsia="楷体_GB2312"/>
                <w:bCs/>
                <w:color w:val="auto"/>
                <w:sz w:val="24"/>
                <w:highlight w:val="none"/>
                <w:lang w:val="en-US" w:eastAsia="zh-CN"/>
              </w:rPr>
              <w:t>产品托管人</w:t>
            </w:r>
          </w:p>
        </w:tc>
        <w:tc>
          <w:tcPr>
            <w:tcW w:w="6656" w:type="dxa"/>
            <w:noWrap w:val="0"/>
            <w:vAlign w:val="top"/>
          </w:tcPr>
          <w:p w14:paraId="538DD1DB">
            <w:pPr>
              <w:rPr>
                <w:rFonts w:hint="default" w:ascii="楷体_GB2312" w:hAnsi="宋体" w:eastAsia="楷体_GB2312"/>
                <w:color w:val="auto"/>
                <w:sz w:val="24"/>
                <w:highlight w:val="none"/>
                <w:lang w:val="en-US"/>
              </w:rPr>
            </w:pPr>
            <w:r>
              <w:rPr>
                <w:rFonts w:hint="eastAsia" w:ascii="楷体_GB2312" w:hAnsi="宋体" w:eastAsia="楷体_GB2312"/>
                <w:color w:val="auto"/>
                <w:sz w:val="24"/>
                <w:highlight w:val="none"/>
                <w:lang w:val="en-US" w:eastAsia="zh-CN"/>
              </w:rPr>
              <w:t xml:space="preserve">北京银行股份有限公司                  </w:t>
            </w:r>
          </w:p>
        </w:tc>
      </w:tr>
      <w:tr w14:paraId="1BBB4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308737C4">
            <w:pPr>
              <w:snapToGrid w:val="0"/>
              <w:rPr>
                <w:rFonts w:ascii="楷体_GB2312" w:eastAsia="楷体_GB2312"/>
                <w:bCs/>
                <w:color w:val="auto"/>
                <w:sz w:val="24"/>
                <w:highlight w:val="none"/>
              </w:rPr>
            </w:pPr>
            <w:r>
              <w:rPr>
                <w:rFonts w:hint="eastAsia" w:ascii="楷体_GB2312" w:eastAsia="楷体_GB2312"/>
                <w:bCs/>
                <w:color w:val="auto"/>
                <w:sz w:val="24"/>
                <w:highlight w:val="none"/>
              </w:rPr>
              <w:t>代销机构</w:t>
            </w:r>
          </w:p>
        </w:tc>
        <w:tc>
          <w:tcPr>
            <w:tcW w:w="6656" w:type="dxa"/>
            <w:noWrap w:val="0"/>
            <w:vAlign w:val="top"/>
          </w:tcPr>
          <w:p w14:paraId="6F1494E9">
            <w:pPr>
              <w:rPr>
                <w:rFonts w:hint="default" w:ascii="楷体_GB2312" w:hAnsi="楷体" w:eastAsia="楷体_GB2312"/>
                <w:color w:val="auto"/>
                <w:sz w:val="24"/>
                <w:highlight w:val="none"/>
                <w:lang w:val="en-US"/>
              </w:rPr>
            </w:pPr>
            <w:r>
              <w:rPr>
                <w:rFonts w:hint="eastAsia" w:ascii="楷体_GB2312" w:eastAsia="楷体_GB2312"/>
                <w:bCs/>
                <w:color w:val="auto"/>
                <w:sz w:val="24"/>
                <w:highlight w:val="none"/>
                <w:lang w:val="en-US" w:eastAsia="zh-CN"/>
              </w:rPr>
              <w:t>A类份额</w:t>
            </w:r>
            <w:r>
              <w:rPr>
                <w:rFonts w:hint="eastAsia" w:ascii="楷体_GB2312" w:eastAsia="楷体_GB2312"/>
                <w:bCs/>
                <w:color w:val="auto"/>
                <w:sz w:val="24"/>
                <w:highlight w:val="none"/>
              </w:rPr>
              <w:t>：</w:t>
            </w:r>
            <w:r>
              <w:rPr>
                <w:rFonts w:hint="eastAsia" w:ascii="楷体_GB2312" w:eastAsia="楷体_GB2312"/>
                <w:bCs/>
                <w:color w:val="auto"/>
                <w:sz w:val="24"/>
                <w:highlight w:val="none"/>
                <w:lang w:val="en-US" w:eastAsia="zh-CN"/>
              </w:rPr>
              <w:t>绍兴银行股份有限公司</w:t>
            </w:r>
          </w:p>
        </w:tc>
      </w:tr>
      <w:tr w14:paraId="5841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5ED72DB2">
            <w:pPr>
              <w:snapToGrid w:val="0"/>
              <w:rPr>
                <w:rFonts w:ascii="楷体_GB2312" w:eastAsia="楷体_GB2312"/>
                <w:bCs/>
                <w:color w:val="auto"/>
                <w:sz w:val="24"/>
                <w:highlight w:val="none"/>
              </w:rPr>
            </w:pPr>
            <w:r>
              <w:rPr>
                <w:rFonts w:hint="eastAsia" w:ascii="楷体_GB2312" w:eastAsia="楷体_GB2312"/>
                <w:bCs/>
                <w:color w:val="auto"/>
                <w:sz w:val="24"/>
                <w:highlight w:val="none"/>
                <w:lang w:val="en-US" w:eastAsia="zh-CN"/>
              </w:rPr>
              <w:t>产品</w:t>
            </w:r>
            <w:r>
              <w:rPr>
                <w:rFonts w:hint="eastAsia" w:ascii="楷体_GB2312" w:eastAsia="楷体_GB2312"/>
                <w:bCs/>
                <w:color w:val="auto"/>
                <w:sz w:val="24"/>
                <w:highlight w:val="none"/>
              </w:rPr>
              <w:t>风险评级</w:t>
            </w:r>
          </w:p>
        </w:tc>
        <w:tc>
          <w:tcPr>
            <w:tcW w:w="6656" w:type="dxa"/>
            <w:noWrap w:val="0"/>
            <w:vAlign w:val="top"/>
          </w:tcPr>
          <w:p w14:paraId="40EAA36E">
            <w:pPr>
              <w:rPr>
                <w:rFonts w:ascii="楷体_GB2312" w:hAnsi="宋体" w:eastAsia="楷体_GB2312"/>
                <w:color w:val="auto"/>
                <w:sz w:val="24"/>
                <w:highlight w:val="none"/>
              </w:rPr>
            </w:pPr>
            <w:r>
              <w:rPr>
                <w:rFonts w:ascii="楷体_GB2312" w:hAnsi="宋体" w:eastAsia="楷体_GB2312"/>
                <w:color w:val="auto"/>
                <w:sz w:val="24"/>
              </w:rPr>
              <w:t>较低风险产品（PR</w:t>
            </w:r>
            <w:r>
              <w:rPr>
                <w:rFonts w:hint="eastAsia" w:ascii="楷体_GB2312" w:hAnsi="宋体" w:eastAsia="楷体_GB2312"/>
                <w:color w:val="auto"/>
                <w:sz w:val="24"/>
              </w:rPr>
              <w:t>2）</w:t>
            </w:r>
            <w:r>
              <w:rPr>
                <w:rFonts w:hint="eastAsia" w:ascii="楷体_GB2312" w:hAnsi="宋体" w:eastAsia="楷体_GB2312"/>
                <w:color w:val="auto"/>
                <w:sz w:val="24"/>
                <w:highlight w:val="none"/>
              </w:rPr>
              <w:t>（本</w:t>
            </w:r>
            <w:r>
              <w:rPr>
                <w:rFonts w:hint="eastAsia" w:ascii="楷体_GB2312" w:hAnsi="宋体" w:eastAsia="楷体_GB2312"/>
                <w:color w:val="auto"/>
                <w:sz w:val="24"/>
                <w:highlight w:val="none"/>
                <w:lang w:val="en-US" w:eastAsia="zh-CN"/>
              </w:rPr>
              <w:t>风险</w:t>
            </w:r>
            <w:r>
              <w:rPr>
                <w:rFonts w:hint="eastAsia" w:ascii="楷体_GB2312" w:hAnsi="宋体" w:eastAsia="楷体_GB2312"/>
                <w:color w:val="auto"/>
                <w:sz w:val="24"/>
                <w:highlight w:val="none"/>
              </w:rPr>
              <w:t>评级为北银理财内部评级，仅供参考）</w:t>
            </w:r>
          </w:p>
          <w:p w14:paraId="68F8C837">
            <w:pPr>
              <w:rPr>
                <w:rFonts w:ascii="楷体_GB2312" w:hAnsi="宋体" w:eastAsia="楷体_GB2312"/>
                <w:color w:val="auto"/>
                <w:sz w:val="24"/>
                <w:highlight w:val="none"/>
              </w:rPr>
            </w:pPr>
            <w:r>
              <w:rPr>
                <w:rFonts w:hint="eastAsia" w:ascii="楷体_GB2312" w:hAnsi="楷体" w:eastAsia="楷体_GB2312"/>
                <w:color w:val="auto"/>
                <w:sz w:val="24"/>
                <w:highlight w:val="none"/>
              </w:rPr>
              <w:t>★</w:t>
            </w:r>
            <w:r>
              <w:rPr>
                <w:rFonts w:hint="eastAsia" w:ascii="楷体_GB2312" w:hAnsi="宋体" w:eastAsia="楷体_GB2312"/>
                <w:b/>
                <w:bCs/>
                <w:color w:val="auto"/>
                <w:sz w:val="24"/>
                <w:highlight w:val="none"/>
              </w:rPr>
              <w:t>本理财产品通过代销机构渠道销售的，理财产品评级应当以代销机构最终披露的评级结果为准。</w:t>
            </w:r>
          </w:p>
        </w:tc>
      </w:tr>
      <w:tr w14:paraId="38522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2428" w:type="dxa"/>
            <w:noWrap w:val="0"/>
            <w:vAlign w:val="center"/>
          </w:tcPr>
          <w:p w14:paraId="59B66A76">
            <w:pPr>
              <w:snapToGrid w:val="0"/>
              <w:rPr>
                <w:rFonts w:ascii="楷体_GB2312" w:eastAsia="楷体_GB2312"/>
                <w:bCs/>
                <w:color w:val="auto"/>
                <w:sz w:val="24"/>
                <w:highlight w:val="none"/>
              </w:rPr>
            </w:pPr>
            <w:r>
              <w:rPr>
                <w:rFonts w:hint="eastAsia" w:ascii="楷体_GB2312" w:eastAsia="楷体_GB2312"/>
                <w:bCs/>
                <w:color w:val="auto"/>
                <w:sz w:val="24"/>
                <w:highlight w:val="none"/>
              </w:rPr>
              <w:t>产品规模</w:t>
            </w:r>
          </w:p>
        </w:tc>
        <w:tc>
          <w:tcPr>
            <w:tcW w:w="6656" w:type="dxa"/>
            <w:noWrap w:val="0"/>
            <w:vAlign w:val="top"/>
          </w:tcPr>
          <w:p w14:paraId="0A0DADE6">
            <w:pPr>
              <w:pStyle w:val="45"/>
              <w:jc w:val="both"/>
              <w:rPr>
                <w:rFonts w:ascii="楷体_GB2312" w:hAnsi="Times New Roman" w:eastAsia="楷体_GB2312" w:cs="Times New Roman"/>
                <w:bCs/>
                <w:color w:val="auto"/>
                <w:kern w:val="2"/>
                <w:highlight w:val="none"/>
              </w:rPr>
            </w:pPr>
            <w:r>
              <w:rPr>
                <w:rFonts w:hint="eastAsia" w:ascii="楷体_GB2312" w:hAnsi="楷体" w:eastAsia="楷体_GB2312"/>
                <w:color w:val="auto"/>
              </w:rPr>
              <w:t>★</w:t>
            </w:r>
            <w:r>
              <w:rPr>
                <w:rFonts w:hint="eastAsia" w:ascii="楷体_GB2312" w:hAnsi="楷体" w:eastAsia="楷体_GB2312"/>
                <w:color w:val="auto"/>
                <w:lang w:val="en-US" w:eastAsia="zh-CN"/>
              </w:rPr>
              <w:t>产品</w:t>
            </w:r>
            <w:r>
              <w:rPr>
                <w:rFonts w:hint="eastAsia" w:ascii="楷体_GB2312" w:hAnsi="Times New Roman" w:eastAsia="楷体_GB2312" w:cs="Times New Roman"/>
                <w:bCs/>
                <w:color w:val="auto"/>
                <w:kern w:val="2"/>
              </w:rPr>
              <w:t>管理人可根据市场和产品运行情况调整产品规模上下限。</w:t>
            </w:r>
          </w:p>
        </w:tc>
      </w:tr>
      <w:tr w14:paraId="32D5A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2428" w:type="dxa"/>
            <w:noWrap w:val="0"/>
            <w:vAlign w:val="center"/>
          </w:tcPr>
          <w:p w14:paraId="74A742CE">
            <w:pPr>
              <w:snapToGrid w:val="0"/>
              <w:rPr>
                <w:rFonts w:ascii="楷体_GB2312" w:eastAsia="楷体_GB2312"/>
                <w:bCs/>
                <w:color w:val="auto"/>
                <w:sz w:val="24"/>
                <w:highlight w:val="none"/>
              </w:rPr>
            </w:pPr>
            <w:r>
              <w:rPr>
                <w:rFonts w:hint="eastAsia" w:ascii="楷体_GB2312" w:eastAsia="楷体_GB2312"/>
                <w:bCs/>
                <w:color w:val="auto"/>
                <w:sz w:val="24"/>
                <w:highlight w:val="none"/>
              </w:rPr>
              <w:t>销售区域</w:t>
            </w:r>
          </w:p>
        </w:tc>
        <w:tc>
          <w:tcPr>
            <w:tcW w:w="6656" w:type="dxa"/>
            <w:noWrap w:val="0"/>
            <w:vAlign w:val="center"/>
          </w:tcPr>
          <w:p w14:paraId="15128FC8">
            <w:pPr>
              <w:snapToGrid w:val="0"/>
              <w:rPr>
                <w:rFonts w:hint="default" w:ascii="楷体_GB2312" w:eastAsia="楷体_GB2312"/>
                <w:bCs/>
                <w:color w:val="auto"/>
                <w:sz w:val="24"/>
                <w:highlight w:val="none"/>
                <w:lang w:val="en-US" w:eastAsia="zh-CN"/>
              </w:rPr>
            </w:pPr>
            <w:r>
              <w:rPr>
                <w:rFonts w:hint="eastAsia" w:ascii="楷体_GB2312" w:eastAsia="楷体_GB2312"/>
                <w:bCs/>
                <w:color w:val="auto"/>
                <w:sz w:val="24"/>
                <w:highlight w:val="none"/>
                <w:lang w:val="en-US" w:eastAsia="zh-CN"/>
              </w:rPr>
              <w:t>A类份额</w:t>
            </w:r>
            <w:r>
              <w:rPr>
                <w:rFonts w:hint="eastAsia" w:ascii="楷体_GB2312" w:eastAsia="楷体_GB2312"/>
                <w:bCs/>
                <w:color w:val="auto"/>
                <w:sz w:val="24"/>
                <w:highlight w:val="none"/>
              </w:rPr>
              <w:t>：</w:t>
            </w:r>
            <w:r>
              <w:rPr>
                <w:rFonts w:hint="eastAsia" w:ascii="楷体_GB2312" w:eastAsia="楷体_GB2312"/>
                <w:bCs/>
                <w:color w:val="auto"/>
                <w:sz w:val="24"/>
                <w:highlight w:val="none"/>
                <w:lang w:val="en-US" w:eastAsia="zh-CN"/>
              </w:rPr>
              <w:t>全国</w:t>
            </w:r>
          </w:p>
        </w:tc>
      </w:tr>
      <w:tr w14:paraId="387E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2428" w:type="dxa"/>
            <w:noWrap w:val="0"/>
            <w:vAlign w:val="center"/>
          </w:tcPr>
          <w:p w14:paraId="31F680D2">
            <w:pPr>
              <w:snapToGrid w:val="0"/>
              <w:rPr>
                <w:rFonts w:ascii="楷体_GB2312" w:eastAsia="楷体_GB2312"/>
                <w:bCs/>
                <w:color w:val="auto"/>
                <w:sz w:val="24"/>
                <w:highlight w:val="none"/>
              </w:rPr>
            </w:pPr>
            <w:r>
              <w:rPr>
                <w:rFonts w:hint="eastAsia" w:ascii="楷体_GB2312" w:eastAsia="楷体_GB2312"/>
                <w:bCs/>
                <w:color w:val="auto"/>
                <w:sz w:val="24"/>
                <w:highlight w:val="none"/>
              </w:rPr>
              <w:t>募集期</w:t>
            </w:r>
          </w:p>
        </w:tc>
        <w:tc>
          <w:tcPr>
            <w:tcW w:w="6656" w:type="dxa"/>
            <w:noWrap w:val="0"/>
            <w:vAlign w:val="center"/>
          </w:tcPr>
          <w:p w14:paraId="221A72EA">
            <w:pPr>
              <w:rPr>
                <w:rFonts w:ascii="楷体_GB2312" w:hAnsi="宋体" w:eastAsia="楷体_GB2312"/>
                <w:color w:val="auto"/>
                <w:sz w:val="24"/>
                <w:highlight w:val="none"/>
              </w:rPr>
            </w:pPr>
            <w:r>
              <w:rPr>
                <w:rFonts w:hint="eastAsia" w:ascii="楷体_GB2312" w:eastAsia="楷体_GB2312"/>
                <w:bCs/>
                <w:color w:val="auto"/>
                <w:sz w:val="24"/>
                <w:highlight w:val="none"/>
                <w:lang w:val="en-US" w:eastAsia="zh-CN"/>
              </w:rPr>
              <w:t>2026年4月2日</w:t>
            </w:r>
            <w:r>
              <w:rPr>
                <w:rFonts w:hint="eastAsia" w:ascii="楷体_GB2312" w:hAnsi="宋体" w:eastAsia="楷体_GB2312"/>
                <w:color w:val="auto"/>
                <w:sz w:val="24"/>
                <w:highlight w:val="none"/>
                <w:lang w:val="en-US" w:eastAsia="zh-CN"/>
              </w:rPr>
              <w:t>9：00</w:t>
            </w:r>
            <w:r>
              <w:rPr>
                <w:rFonts w:hint="eastAsia" w:ascii="楷体_GB2312" w:hAnsi="宋体" w:eastAsia="楷体_GB2312"/>
                <w:color w:val="auto"/>
                <w:sz w:val="24"/>
                <w:highlight w:val="none"/>
              </w:rPr>
              <w:t>至</w:t>
            </w:r>
            <w:r>
              <w:rPr>
                <w:rFonts w:hint="eastAsia" w:ascii="楷体_GB2312" w:eastAsia="楷体_GB2312"/>
                <w:bCs/>
                <w:color w:val="auto"/>
                <w:sz w:val="24"/>
                <w:highlight w:val="none"/>
                <w:lang w:val="en-US" w:eastAsia="zh-CN"/>
              </w:rPr>
              <w:t>2026年4月8日</w:t>
            </w:r>
            <w:r>
              <w:rPr>
                <w:rFonts w:hint="eastAsia" w:ascii="楷体_GB2312" w:hAnsi="宋体" w:eastAsia="楷体_GB2312"/>
                <w:color w:val="auto"/>
                <w:sz w:val="24"/>
                <w:highlight w:val="none"/>
                <w:lang w:val="en-US" w:eastAsia="zh-CN"/>
              </w:rPr>
              <w:t>17：00</w:t>
            </w:r>
            <w:r>
              <w:rPr>
                <w:rFonts w:hint="eastAsia" w:ascii="楷体_GB2312" w:hAnsi="宋体" w:eastAsia="楷体_GB2312"/>
                <w:color w:val="auto"/>
                <w:sz w:val="24"/>
                <w:highlight w:val="none"/>
              </w:rPr>
              <w:t>。</w:t>
            </w:r>
          </w:p>
          <w:p w14:paraId="47505864">
            <w:pPr>
              <w:rPr>
                <w:rFonts w:ascii="楷体_GB2312" w:hAnsi="宋体" w:eastAsia="楷体_GB2312"/>
                <w:color w:val="auto"/>
                <w:sz w:val="24"/>
                <w:highlight w:val="none"/>
              </w:rPr>
            </w:pPr>
            <w:r>
              <w:rPr>
                <w:rFonts w:hint="eastAsia" w:ascii="楷体_GB2312" w:hAnsi="宋体" w:eastAsia="楷体_GB2312"/>
                <w:color w:val="auto"/>
                <w:sz w:val="24"/>
                <w:highlight w:val="none"/>
                <w:lang w:eastAsia="zh-CN"/>
              </w:rPr>
              <w:t>（</w:t>
            </w:r>
            <w:r>
              <w:rPr>
                <w:rFonts w:hint="eastAsia" w:ascii="楷体_GB2312" w:hAnsi="宋体" w:eastAsia="楷体_GB2312"/>
                <w:color w:val="auto"/>
                <w:sz w:val="24"/>
                <w:highlight w:val="none"/>
                <w:lang w:val="en-US" w:eastAsia="zh-CN"/>
              </w:rPr>
              <w:t>募集期开市/闭市时间具体以代理销售机构为准）</w:t>
            </w:r>
          </w:p>
          <w:p w14:paraId="6717E2CD">
            <w:pPr>
              <w:rPr>
                <w:rFonts w:ascii="楷体_GB2312" w:hAnsi="宋体" w:eastAsia="楷体_GB2312"/>
                <w:color w:val="auto"/>
                <w:sz w:val="24"/>
                <w:highlight w:val="none"/>
              </w:rPr>
            </w:pPr>
            <w:r>
              <w:rPr>
                <w:rFonts w:hint="eastAsia" w:ascii="楷体_GB2312" w:hAnsi="楷体" w:eastAsia="楷体_GB2312"/>
                <w:color w:val="auto"/>
                <w:sz w:val="24"/>
                <w:highlight w:val="none"/>
              </w:rPr>
              <w:t>★</w:t>
            </w:r>
            <w:r>
              <w:rPr>
                <w:rFonts w:hint="eastAsia" w:ascii="楷体_GB2312" w:hAnsi="宋体" w:eastAsia="楷体_GB2312"/>
                <w:color w:val="auto"/>
                <w:sz w:val="24"/>
                <w:highlight w:val="none"/>
                <w:lang w:eastAsia="zh-CN"/>
              </w:rPr>
              <w:t>产品管理人</w:t>
            </w:r>
            <w:r>
              <w:rPr>
                <w:rFonts w:hint="eastAsia" w:ascii="楷体_GB2312" w:hAnsi="宋体" w:eastAsia="楷体_GB2312"/>
                <w:color w:val="auto"/>
                <w:sz w:val="24"/>
                <w:highlight w:val="none"/>
              </w:rPr>
              <w:t>有权根据市场情况提前结束或延长募集期并相应调整</w:t>
            </w:r>
            <w:r>
              <w:rPr>
                <w:rFonts w:hint="eastAsia" w:ascii="楷体_GB2312" w:hAnsi="宋体" w:eastAsia="楷体_GB2312"/>
                <w:color w:val="auto"/>
                <w:sz w:val="24"/>
                <w:highlight w:val="none"/>
                <w:lang w:val="en-US" w:eastAsia="zh-CN"/>
              </w:rPr>
              <w:t>本理财</w:t>
            </w:r>
            <w:r>
              <w:rPr>
                <w:rFonts w:hint="eastAsia" w:ascii="楷体_GB2312" w:hAnsi="宋体" w:eastAsia="楷体_GB2312"/>
                <w:color w:val="auto"/>
                <w:sz w:val="24"/>
                <w:highlight w:val="none"/>
              </w:rPr>
              <w:t>产品成立日。</w:t>
            </w:r>
          </w:p>
          <w:p w14:paraId="187A423F">
            <w:pPr>
              <w:rPr>
                <w:rFonts w:ascii="楷体_GB2312" w:eastAsia="楷体_GB2312"/>
                <w:bCs/>
                <w:color w:val="auto"/>
                <w:sz w:val="24"/>
                <w:highlight w:val="none"/>
              </w:rPr>
            </w:pPr>
            <w:r>
              <w:rPr>
                <w:rFonts w:hint="eastAsia" w:ascii="楷体_GB2312" w:hAnsi="楷体" w:eastAsia="楷体_GB2312"/>
                <w:color w:val="auto"/>
                <w:sz w:val="24"/>
                <w:highlight w:val="none"/>
              </w:rPr>
              <w:t>★</w:t>
            </w:r>
            <w:r>
              <w:rPr>
                <w:rFonts w:hint="eastAsia" w:ascii="楷体_GB2312" w:hAnsi="宋体" w:eastAsia="楷体_GB2312"/>
                <w:color w:val="auto"/>
                <w:sz w:val="24"/>
                <w:highlight w:val="none"/>
              </w:rPr>
              <w:t>如经</w:t>
            </w:r>
            <w:r>
              <w:rPr>
                <w:rFonts w:hint="eastAsia" w:ascii="楷体_GB2312" w:hAnsi="宋体" w:eastAsia="楷体_GB2312"/>
                <w:color w:val="auto"/>
                <w:sz w:val="24"/>
                <w:highlight w:val="none"/>
                <w:lang w:eastAsia="zh-CN"/>
              </w:rPr>
              <w:t>产品管理人</w:t>
            </w:r>
            <w:r>
              <w:rPr>
                <w:rFonts w:hint="eastAsia" w:ascii="楷体_GB2312" w:hAnsi="宋体" w:eastAsia="楷体_GB2312"/>
                <w:color w:val="auto"/>
                <w:sz w:val="24"/>
                <w:highlight w:val="none"/>
              </w:rPr>
              <w:t>判断需提前结束或延长募集期，</w:t>
            </w:r>
            <w:r>
              <w:rPr>
                <w:rFonts w:hint="eastAsia" w:ascii="楷体_GB2312" w:hAnsi="宋体" w:eastAsia="楷体_GB2312"/>
                <w:color w:val="auto"/>
                <w:sz w:val="24"/>
                <w:highlight w:val="none"/>
                <w:lang w:eastAsia="zh-CN"/>
              </w:rPr>
              <w:t>产品管理人</w:t>
            </w:r>
            <w:r>
              <w:rPr>
                <w:rFonts w:hint="eastAsia" w:ascii="楷体_GB2312" w:hAnsi="宋体" w:eastAsia="楷体_GB2312"/>
                <w:color w:val="auto"/>
                <w:sz w:val="24"/>
                <w:highlight w:val="none"/>
              </w:rPr>
              <w:t>将提前</w:t>
            </w:r>
            <w:r>
              <w:rPr>
                <w:rFonts w:hint="default" w:ascii="楷体_GB2312" w:hAnsi="宋体" w:eastAsia="楷体_GB2312"/>
                <w:color w:val="auto"/>
                <w:sz w:val="24"/>
                <w:highlight w:val="none"/>
                <w:lang w:val="en-US"/>
              </w:rPr>
              <w:t>1</w:t>
            </w:r>
            <w:r>
              <w:rPr>
                <w:rFonts w:hint="eastAsia" w:ascii="楷体_GB2312" w:hAnsi="宋体" w:eastAsia="楷体_GB2312"/>
                <w:color w:val="auto"/>
                <w:sz w:val="24"/>
                <w:highlight w:val="none"/>
                <w:lang w:val="en-US" w:eastAsia="zh-CN"/>
              </w:rPr>
              <w:t>个工作日</w:t>
            </w:r>
            <w:r>
              <w:rPr>
                <w:rFonts w:hint="eastAsia" w:ascii="楷体_GB2312" w:hAnsi="宋体" w:eastAsia="楷体_GB2312"/>
                <w:color w:val="auto"/>
                <w:sz w:val="24"/>
                <w:highlight w:val="none"/>
              </w:rPr>
              <w:t>在</w:t>
            </w:r>
            <w:r>
              <w:rPr>
                <w:rFonts w:hint="eastAsia" w:ascii="楷体_GB2312" w:hAnsi="宋体" w:eastAsia="楷体_GB2312"/>
                <w:color w:val="auto"/>
                <w:sz w:val="24"/>
                <w:highlight w:val="none"/>
                <w:lang w:val="en-US" w:eastAsia="zh-CN"/>
              </w:rPr>
              <w:t>本理财产品销售文件约定的信息披露渠道</w:t>
            </w:r>
            <w:r>
              <w:rPr>
                <w:rFonts w:hint="eastAsia" w:ascii="楷体_GB2312" w:hAnsi="宋体" w:eastAsia="楷体_GB2312"/>
                <w:color w:val="auto"/>
                <w:sz w:val="24"/>
                <w:highlight w:val="none"/>
              </w:rPr>
              <w:t>公告。</w:t>
            </w:r>
          </w:p>
        </w:tc>
      </w:tr>
      <w:tr w14:paraId="57AFB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428" w:type="dxa"/>
            <w:noWrap w:val="0"/>
            <w:vAlign w:val="center"/>
          </w:tcPr>
          <w:p w14:paraId="64265CB2">
            <w:pPr>
              <w:snapToGrid w:val="0"/>
              <w:rPr>
                <w:rFonts w:hint="eastAsia" w:ascii="楷体_GB2312" w:hAnsi="Times New Roman" w:eastAsia="楷体_GB2312" w:cs="Times New Roman"/>
                <w:bCs/>
                <w:color w:val="auto"/>
                <w:sz w:val="24"/>
                <w:highlight w:val="none"/>
              </w:rPr>
            </w:pPr>
            <w:r>
              <w:rPr>
                <w:rFonts w:hint="eastAsia" w:ascii="楷体_GB2312" w:hAnsi="Times New Roman" w:eastAsia="楷体_GB2312" w:cs="Times New Roman"/>
                <w:bCs/>
                <w:color w:val="auto"/>
                <w:sz w:val="24"/>
                <w:highlight w:val="none"/>
              </w:rPr>
              <w:t>认购</w:t>
            </w:r>
          </w:p>
        </w:tc>
        <w:tc>
          <w:tcPr>
            <w:tcW w:w="6656" w:type="dxa"/>
            <w:noWrap w:val="0"/>
            <w:vAlign w:val="center"/>
          </w:tcPr>
          <w:p w14:paraId="0C306C12">
            <w:pPr>
              <w:snapToGrid w:val="0"/>
              <w:rPr>
                <w:rFonts w:hint="eastAsia" w:ascii="楷体_GB2312" w:hAnsi="Times New Roman" w:eastAsia="楷体_GB2312" w:cs="Times New Roman"/>
                <w:bCs/>
                <w:color w:val="auto"/>
                <w:sz w:val="24"/>
                <w:highlight w:val="none"/>
              </w:rPr>
            </w:pPr>
            <w:r>
              <w:rPr>
                <w:rFonts w:hint="eastAsia" w:ascii="楷体_GB2312" w:hAnsi="Times New Roman" w:eastAsia="楷体_GB2312" w:cs="Times New Roman"/>
                <w:bCs/>
                <w:color w:val="auto"/>
                <w:sz w:val="24"/>
                <w:highlight w:val="none"/>
              </w:rPr>
              <w:t>投资者可在募集期</w:t>
            </w:r>
            <w:r>
              <w:rPr>
                <w:rFonts w:hint="eastAsia" w:ascii="楷体_GB2312" w:hAnsi="Times New Roman" w:eastAsia="楷体_GB2312" w:cs="Times New Roman"/>
                <w:bCs/>
                <w:color w:val="auto"/>
                <w:sz w:val="24"/>
                <w:highlight w:val="none"/>
                <w:lang w:val="en-US" w:eastAsia="zh-CN"/>
              </w:rPr>
              <w:t>规定时间</w:t>
            </w:r>
            <w:r>
              <w:rPr>
                <w:rFonts w:hint="eastAsia" w:ascii="楷体_GB2312" w:hAnsi="Times New Roman" w:eastAsia="楷体_GB2312" w:cs="Times New Roman"/>
                <w:bCs/>
                <w:color w:val="auto"/>
                <w:sz w:val="24"/>
                <w:highlight w:val="none"/>
              </w:rPr>
              <w:t>内购买本</w:t>
            </w:r>
            <w:r>
              <w:rPr>
                <w:rFonts w:hint="eastAsia" w:ascii="楷体_GB2312" w:hAnsi="Times New Roman" w:eastAsia="楷体_GB2312" w:cs="Times New Roman"/>
                <w:bCs/>
                <w:color w:val="auto"/>
                <w:sz w:val="24"/>
                <w:highlight w:val="none"/>
                <w:lang w:val="en-US" w:eastAsia="zh-CN"/>
              </w:rPr>
              <w:t>理财</w:t>
            </w:r>
            <w:r>
              <w:rPr>
                <w:rFonts w:hint="eastAsia" w:ascii="楷体_GB2312" w:hAnsi="Times New Roman" w:eastAsia="楷体_GB2312" w:cs="Times New Roman"/>
                <w:bCs/>
                <w:color w:val="auto"/>
                <w:sz w:val="24"/>
                <w:highlight w:val="none"/>
              </w:rPr>
              <w:t>产品，投资者认购资金将被实时冻结，并于</w:t>
            </w:r>
            <w:r>
              <w:rPr>
                <w:rFonts w:hint="eastAsia" w:ascii="楷体_GB2312" w:hAnsi="Times New Roman" w:eastAsia="楷体_GB2312" w:cs="Times New Roman"/>
                <w:bCs/>
                <w:color w:val="auto"/>
                <w:sz w:val="24"/>
                <w:highlight w:val="none"/>
                <w:lang w:eastAsia="zh-CN"/>
              </w:rPr>
              <w:t>本</w:t>
            </w:r>
            <w:r>
              <w:rPr>
                <w:rFonts w:hint="eastAsia" w:ascii="楷体_GB2312" w:hAnsi="Times New Roman" w:eastAsia="楷体_GB2312" w:cs="Times New Roman"/>
                <w:bCs/>
                <w:color w:val="auto"/>
                <w:sz w:val="24"/>
                <w:highlight w:val="none"/>
                <w:lang w:val="en-US" w:eastAsia="zh-CN"/>
              </w:rPr>
              <w:t>理财</w:t>
            </w:r>
            <w:r>
              <w:rPr>
                <w:rFonts w:hint="eastAsia" w:ascii="楷体_GB2312" w:hAnsi="Times New Roman" w:eastAsia="楷体_GB2312" w:cs="Times New Roman"/>
                <w:bCs/>
                <w:color w:val="auto"/>
                <w:sz w:val="24"/>
                <w:highlight w:val="none"/>
              </w:rPr>
              <w:t>产品成立日由代销机构划款，</w:t>
            </w:r>
            <w:r>
              <w:rPr>
                <w:rFonts w:hint="eastAsia" w:ascii="楷体_GB2312" w:hAnsi="Times New Roman" w:eastAsia="楷体_GB2312" w:cs="Times New Roman"/>
                <w:bCs/>
                <w:color w:val="auto"/>
                <w:sz w:val="24"/>
                <w:highlight w:val="none"/>
                <w:lang w:eastAsia="zh-CN"/>
              </w:rPr>
              <w:t>产品管理人</w:t>
            </w:r>
            <w:r>
              <w:rPr>
                <w:rFonts w:hint="eastAsia" w:ascii="楷体_GB2312" w:hAnsi="Times New Roman" w:eastAsia="楷体_GB2312" w:cs="Times New Roman"/>
                <w:bCs/>
                <w:color w:val="auto"/>
                <w:sz w:val="24"/>
                <w:highlight w:val="none"/>
              </w:rPr>
              <w:t>在</w:t>
            </w:r>
            <w:r>
              <w:rPr>
                <w:rFonts w:hint="eastAsia" w:ascii="楷体_GB2312" w:hAnsi="Times New Roman" w:eastAsia="楷体_GB2312" w:cs="Times New Roman"/>
                <w:bCs/>
                <w:color w:val="auto"/>
                <w:sz w:val="24"/>
                <w:highlight w:val="none"/>
                <w:lang w:eastAsia="zh-CN"/>
              </w:rPr>
              <w:t>本理财</w:t>
            </w:r>
            <w:r>
              <w:rPr>
                <w:rFonts w:hint="eastAsia" w:ascii="楷体_GB2312" w:hAnsi="Times New Roman" w:eastAsia="楷体_GB2312" w:cs="Times New Roman"/>
                <w:bCs/>
                <w:color w:val="auto"/>
                <w:sz w:val="24"/>
                <w:highlight w:val="none"/>
              </w:rPr>
              <w:t>产品成立日确认产品份额。</w:t>
            </w:r>
          </w:p>
        </w:tc>
      </w:tr>
      <w:tr w14:paraId="30EB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2428" w:type="dxa"/>
            <w:noWrap w:val="0"/>
            <w:vAlign w:val="center"/>
          </w:tcPr>
          <w:p w14:paraId="1D6C3908">
            <w:pPr>
              <w:snapToGrid w:val="0"/>
              <w:rPr>
                <w:rFonts w:hint="eastAsia" w:ascii="楷体_GB2312" w:hAnsi="Times New Roman" w:eastAsia="楷体_GB2312" w:cs="Times New Roman"/>
                <w:bCs/>
                <w:color w:val="auto"/>
                <w:sz w:val="24"/>
                <w:highlight w:val="none"/>
              </w:rPr>
            </w:pPr>
            <w:r>
              <w:rPr>
                <w:rFonts w:hint="eastAsia" w:ascii="楷体_GB2312" w:hAnsi="Times New Roman" w:eastAsia="楷体_GB2312" w:cs="Times New Roman"/>
                <w:bCs/>
                <w:color w:val="auto"/>
                <w:sz w:val="24"/>
                <w:highlight w:val="none"/>
              </w:rPr>
              <w:t>成立日</w:t>
            </w:r>
          </w:p>
        </w:tc>
        <w:tc>
          <w:tcPr>
            <w:tcW w:w="6656" w:type="dxa"/>
            <w:noWrap w:val="0"/>
            <w:vAlign w:val="center"/>
          </w:tcPr>
          <w:p w14:paraId="6924C52A">
            <w:pPr>
              <w:rPr>
                <w:rFonts w:hint="eastAsia" w:ascii="楷体_GB2312" w:hAnsi="Times New Roman" w:eastAsia="楷体_GB2312" w:cs="Times New Roman"/>
                <w:bCs/>
                <w:color w:val="auto"/>
                <w:sz w:val="24"/>
                <w:highlight w:val="none"/>
                <w:lang w:eastAsia="zh-CN"/>
              </w:rPr>
            </w:pPr>
            <w:r>
              <w:rPr>
                <w:rFonts w:hint="eastAsia" w:ascii="楷体_GB2312" w:eastAsia="楷体_GB2312"/>
                <w:bCs/>
                <w:color w:val="auto"/>
                <w:sz w:val="24"/>
                <w:highlight w:val="none"/>
                <w:lang w:val="en-US" w:eastAsia="zh-CN"/>
              </w:rPr>
              <w:t>2026年4月9日</w:t>
            </w:r>
            <w:r>
              <w:rPr>
                <w:rFonts w:hint="eastAsia" w:ascii="楷体_GB2312" w:hAnsi="Times New Roman" w:eastAsia="楷体_GB2312" w:cs="Times New Roman"/>
                <w:bCs/>
                <w:color w:val="auto"/>
                <w:sz w:val="24"/>
                <w:highlight w:val="none"/>
                <w:lang w:eastAsia="zh-CN"/>
              </w:rPr>
              <w:t>。</w:t>
            </w:r>
          </w:p>
          <w:p w14:paraId="4F038DCE">
            <w:pPr>
              <w:rPr>
                <w:rFonts w:hint="eastAsia" w:ascii="楷体_GB2312" w:hAnsi="宋体" w:eastAsia="楷体_GB2312"/>
                <w:color w:val="auto"/>
                <w:sz w:val="24"/>
                <w:highlight w:val="none"/>
              </w:rPr>
            </w:pPr>
            <w:r>
              <w:rPr>
                <w:rFonts w:hint="eastAsia" w:ascii="楷体_GB2312" w:hAnsi="楷体" w:eastAsia="楷体_GB2312"/>
                <w:color w:val="auto"/>
                <w:sz w:val="24"/>
                <w:highlight w:val="none"/>
              </w:rPr>
              <w:t>★</w:t>
            </w:r>
            <w:r>
              <w:rPr>
                <w:rFonts w:hint="eastAsia" w:ascii="楷体_GB2312" w:hAnsi="宋体" w:eastAsia="楷体_GB2312"/>
                <w:color w:val="auto"/>
                <w:sz w:val="24"/>
                <w:highlight w:val="none"/>
              </w:rPr>
              <w:t>产品管理人有权根据市场情况提前结束或延长募集期并相应调整本理财产品成立日。</w:t>
            </w:r>
          </w:p>
          <w:p w14:paraId="7A3E6020">
            <w:pPr>
              <w:rPr>
                <w:rFonts w:hint="eastAsia" w:ascii="楷体_GB2312" w:hAnsi="Times New Roman" w:eastAsia="楷体_GB2312" w:cs="Times New Roman"/>
                <w:bCs/>
                <w:color w:val="auto"/>
                <w:sz w:val="24"/>
                <w:highlight w:val="none"/>
                <w:lang w:eastAsia="zh-CN"/>
              </w:rPr>
            </w:pPr>
            <w:r>
              <w:rPr>
                <w:rFonts w:hint="eastAsia" w:ascii="楷体_GB2312" w:hAnsi="楷体" w:eastAsia="楷体_GB2312"/>
                <w:color w:val="auto"/>
                <w:sz w:val="24"/>
                <w:highlight w:val="none"/>
              </w:rPr>
              <w:t>★</w:t>
            </w:r>
            <w:r>
              <w:rPr>
                <w:rFonts w:hint="eastAsia" w:ascii="楷体_GB2312" w:hAnsi="宋体" w:eastAsia="楷体_GB2312"/>
                <w:color w:val="auto"/>
                <w:sz w:val="24"/>
                <w:highlight w:val="none"/>
                <w:lang w:val="en-US" w:eastAsia="zh-CN"/>
              </w:rPr>
              <w:t>如经产品管理人判断需提前结束或延长募集期，产品管理人将提前1个工作日在本理财产品销售文件约定的信息披露渠道公告。</w:t>
            </w:r>
          </w:p>
        </w:tc>
      </w:tr>
      <w:tr w14:paraId="5208D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2428" w:type="dxa"/>
            <w:noWrap w:val="0"/>
            <w:vAlign w:val="center"/>
          </w:tcPr>
          <w:p w14:paraId="4D7D95EE">
            <w:pPr>
              <w:snapToGrid w:val="0"/>
              <w:rPr>
                <w:rFonts w:hint="eastAsia" w:ascii="楷体_GB2312" w:hAnsi="Times New Roman" w:eastAsia="楷体_GB2312" w:cs="Times New Roman"/>
                <w:bCs/>
                <w:color w:val="auto"/>
                <w:sz w:val="24"/>
                <w:highlight w:val="none"/>
              </w:rPr>
            </w:pPr>
            <w:r>
              <w:rPr>
                <w:rFonts w:hint="eastAsia" w:ascii="楷体_GB2312" w:eastAsia="楷体_GB2312"/>
                <w:bCs/>
                <w:color w:val="000000"/>
                <w:sz w:val="24"/>
                <w:highlight w:val="none"/>
              </w:rPr>
              <w:t>到期日</w:t>
            </w:r>
          </w:p>
        </w:tc>
        <w:tc>
          <w:tcPr>
            <w:tcW w:w="6656" w:type="dxa"/>
            <w:noWrap w:val="0"/>
            <w:vAlign w:val="center"/>
          </w:tcPr>
          <w:p w14:paraId="4068DC59">
            <w:pPr>
              <w:snapToGrid w:val="0"/>
              <w:rPr>
                <w:rFonts w:hint="eastAsia" w:ascii="楷体_GB2312" w:hAnsi="楷体" w:eastAsia="楷体_GB2312"/>
                <w:color w:val="auto"/>
                <w:sz w:val="24"/>
                <w:highlight w:val="none"/>
              </w:rPr>
            </w:pPr>
            <w:r>
              <w:rPr>
                <w:rFonts w:hint="eastAsia" w:ascii="楷体_GB2312" w:hAnsi="宋体" w:eastAsia="楷体_GB2312"/>
                <w:color w:val="auto"/>
                <w:sz w:val="24"/>
                <w:highlight w:val="none"/>
                <w:lang w:val="en-US" w:eastAsia="zh-CN"/>
              </w:rPr>
              <w:t>2026年10月20日</w:t>
            </w:r>
            <w:r>
              <w:rPr>
                <w:rFonts w:hint="eastAsia" w:ascii="楷体_GB2312" w:eastAsia="楷体_GB2312"/>
                <w:color w:val="auto"/>
                <w:sz w:val="24"/>
                <w:highlight w:val="none"/>
              </w:rPr>
              <w:t>（受提前终止等本理财产品销售文件相关条款的约束,如该到期日为</w:t>
            </w:r>
            <w:r>
              <w:rPr>
                <w:rFonts w:hint="eastAsia" w:ascii="楷体_GB2312" w:eastAsia="楷体_GB2312"/>
                <w:color w:val="auto"/>
                <w:sz w:val="24"/>
                <w:highlight w:val="none"/>
                <w:lang w:val="en-US" w:eastAsia="zh-CN"/>
              </w:rPr>
              <w:t>节假</w:t>
            </w:r>
            <w:r>
              <w:rPr>
                <w:rFonts w:hint="eastAsia" w:ascii="楷体_GB2312" w:eastAsia="楷体_GB2312"/>
                <w:color w:val="auto"/>
                <w:sz w:val="24"/>
                <w:highlight w:val="none"/>
              </w:rPr>
              <w:t>则相应顺延至下一个</w:t>
            </w:r>
            <w:r>
              <w:rPr>
                <w:rFonts w:hint="eastAsia" w:ascii="楷体_GB2312" w:eastAsia="楷体_GB2312"/>
                <w:color w:val="auto"/>
                <w:sz w:val="24"/>
                <w:highlight w:val="none"/>
                <w:lang w:val="en-US" w:eastAsia="zh-CN"/>
              </w:rPr>
              <w:t>工作</w:t>
            </w:r>
            <w:r>
              <w:rPr>
                <w:rFonts w:hint="eastAsia" w:ascii="楷体_GB2312" w:eastAsia="楷体_GB2312"/>
                <w:color w:val="auto"/>
                <w:sz w:val="24"/>
                <w:highlight w:val="none"/>
              </w:rPr>
              <w:t>日</w:t>
            </w:r>
            <w:r>
              <w:rPr>
                <w:rFonts w:hint="eastAsia" w:ascii="楷体_GB2312" w:eastAsia="楷体_GB2312"/>
                <w:color w:val="auto"/>
                <w:sz w:val="24"/>
                <w:highlight w:val="none"/>
                <w:lang w:eastAsia="zh-Hans"/>
              </w:rPr>
              <w:t>，详见“七、产品</w:t>
            </w:r>
            <w:r>
              <w:rPr>
                <w:rFonts w:hint="eastAsia" w:ascii="楷体_GB2312" w:eastAsia="楷体_GB2312"/>
                <w:color w:val="auto"/>
                <w:sz w:val="24"/>
                <w:highlight w:val="none"/>
              </w:rPr>
              <w:t>的</w:t>
            </w:r>
            <w:r>
              <w:rPr>
                <w:rFonts w:hint="eastAsia" w:ascii="楷体_GB2312" w:eastAsia="楷体_GB2312"/>
                <w:color w:val="auto"/>
                <w:sz w:val="24"/>
                <w:highlight w:val="none"/>
                <w:lang w:eastAsia="zh-Hans"/>
              </w:rPr>
              <w:t>终止与清算”</w:t>
            </w:r>
            <w:r>
              <w:rPr>
                <w:rFonts w:hint="eastAsia" w:ascii="楷体_GB2312" w:eastAsia="楷体_GB2312"/>
                <w:color w:val="auto"/>
                <w:sz w:val="24"/>
                <w:highlight w:val="none"/>
              </w:rPr>
              <w:t>）</w:t>
            </w:r>
          </w:p>
        </w:tc>
      </w:tr>
      <w:tr w14:paraId="31BF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2428" w:type="dxa"/>
            <w:noWrap w:val="0"/>
            <w:vAlign w:val="center"/>
          </w:tcPr>
          <w:p w14:paraId="7626A6C1">
            <w:pPr>
              <w:snapToGrid w:val="0"/>
              <w:rPr>
                <w:rFonts w:hint="default" w:ascii="楷体_GB2312" w:eastAsia="楷体_GB2312"/>
                <w:bCs/>
                <w:color w:val="000000"/>
                <w:sz w:val="24"/>
                <w:highlight w:val="none"/>
                <w:lang w:val="en-US" w:eastAsia="zh-CN"/>
              </w:rPr>
            </w:pPr>
            <w:r>
              <w:rPr>
                <w:rFonts w:hint="eastAsia" w:ascii="楷体_GB2312" w:eastAsia="楷体_GB2312"/>
                <w:bCs/>
                <w:color w:val="000000"/>
                <w:sz w:val="24"/>
                <w:highlight w:val="none"/>
                <w:lang w:val="en-US" w:eastAsia="zh-CN"/>
              </w:rPr>
              <w:t>产品存续期限</w:t>
            </w:r>
          </w:p>
        </w:tc>
        <w:tc>
          <w:tcPr>
            <w:tcW w:w="6656" w:type="dxa"/>
            <w:noWrap w:val="0"/>
            <w:vAlign w:val="center"/>
          </w:tcPr>
          <w:p w14:paraId="660A95E5">
            <w:pPr>
              <w:snapToGrid w:val="0"/>
              <w:rPr>
                <w:rFonts w:hint="default" w:ascii="楷体_GB2312" w:hAnsi="宋体" w:eastAsia="楷体_GB2312"/>
                <w:color w:val="auto"/>
                <w:sz w:val="24"/>
                <w:highlight w:val="none"/>
                <w:lang w:val="en-US" w:eastAsia="zh-CN"/>
              </w:rPr>
            </w:pPr>
            <w:r>
              <w:rPr>
                <w:rFonts w:hint="eastAsia" w:ascii="楷体_GB2312" w:hAnsi="宋体" w:eastAsia="楷体_GB2312"/>
                <w:color w:val="auto"/>
                <w:sz w:val="24"/>
                <w:highlight w:val="none"/>
                <w:lang w:val="en-US" w:eastAsia="zh-CN"/>
              </w:rPr>
              <w:t>194天</w:t>
            </w:r>
          </w:p>
        </w:tc>
      </w:tr>
      <w:tr w14:paraId="40840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428" w:type="dxa"/>
            <w:noWrap w:val="0"/>
            <w:vAlign w:val="center"/>
          </w:tcPr>
          <w:p w14:paraId="2CE59F27">
            <w:pPr>
              <w:snapToGrid w:val="0"/>
              <w:rPr>
                <w:rFonts w:ascii="楷体_GB2312" w:eastAsia="楷体_GB2312"/>
                <w:bCs/>
                <w:color w:val="auto"/>
                <w:sz w:val="24"/>
                <w:highlight w:val="none"/>
              </w:rPr>
            </w:pPr>
            <w:r>
              <w:rPr>
                <w:rFonts w:hint="eastAsia" w:ascii="楷体_GB2312" w:eastAsia="楷体_GB2312"/>
                <w:bCs/>
                <w:color w:val="auto"/>
                <w:sz w:val="24"/>
                <w:highlight w:val="none"/>
              </w:rPr>
              <w:t>产品单位面值</w:t>
            </w:r>
          </w:p>
        </w:tc>
        <w:tc>
          <w:tcPr>
            <w:tcW w:w="6656" w:type="dxa"/>
            <w:noWrap w:val="0"/>
            <w:vAlign w:val="center"/>
          </w:tcPr>
          <w:p w14:paraId="14B66249">
            <w:pPr>
              <w:snapToGrid w:val="0"/>
              <w:rPr>
                <w:rFonts w:ascii="楷体_GB2312" w:eastAsia="楷体_GB2312"/>
                <w:bCs/>
                <w:color w:val="auto"/>
                <w:sz w:val="24"/>
                <w:highlight w:val="none"/>
              </w:rPr>
            </w:pPr>
            <w:r>
              <w:rPr>
                <w:rFonts w:hint="eastAsia" w:ascii="楷体_GB2312" w:eastAsia="楷体_GB2312"/>
                <w:bCs/>
                <w:color w:val="auto"/>
                <w:sz w:val="24"/>
                <w:highlight w:val="none"/>
              </w:rPr>
              <w:t>本理财产品的</w:t>
            </w:r>
            <w:r>
              <w:rPr>
                <w:rFonts w:hint="eastAsia" w:ascii="楷体_GB2312" w:eastAsia="楷体_GB2312"/>
                <w:bCs/>
                <w:color w:val="auto"/>
                <w:sz w:val="24"/>
                <w:highlight w:val="none"/>
                <w:lang w:val="en-US" w:eastAsia="zh-CN"/>
              </w:rPr>
              <w:t>初始产品</w:t>
            </w:r>
            <w:r>
              <w:rPr>
                <w:rFonts w:hint="eastAsia" w:ascii="楷体_GB2312" w:eastAsia="楷体_GB2312"/>
                <w:bCs/>
                <w:color w:val="auto"/>
                <w:sz w:val="24"/>
                <w:highlight w:val="none"/>
              </w:rPr>
              <w:t>单位</w:t>
            </w:r>
            <w:r>
              <w:rPr>
                <w:rFonts w:hint="eastAsia" w:ascii="楷体_GB2312" w:eastAsia="楷体_GB2312"/>
                <w:bCs/>
                <w:color w:val="auto"/>
                <w:sz w:val="24"/>
                <w:highlight w:val="none"/>
                <w:lang w:val="en-US" w:eastAsia="zh-CN"/>
              </w:rPr>
              <w:t>面</w:t>
            </w:r>
            <w:r>
              <w:rPr>
                <w:rFonts w:hint="eastAsia" w:ascii="楷体_GB2312" w:eastAsia="楷体_GB2312"/>
                <w:bCs/>
                <w:color w:val="auto"/>
                <w:sz w:val="24"/>
                <w:highlight w:val="none"/>
              </w:rPr>
              <w:t>值为1</w:t>
            </w:r>
            <w:r>
              <w:rPr>
                <w:rFonts w:hint="default" w:ascii="楷体_GB2312" w:eastAsia="楷体_GB2312"/>
                <w:bCs/>
                <w:color w:val="auto"/>
                <w:sz w:val="24"/>
                <w:highlight w:val="none"/>
                <w:lang w:val="en-US"/>
              </w:rPr>
              <w:t>.00</w:t>
            </w:r>
            <w:r>
              <w:rPr>
                <w:rFonts w:hint="eastAsia" w:ascii="楷体_GB2312" w:eastAsia="楷体_GB2312"/>
                <w:bCs/>
                <w:color w:val="auto"/>
                <w:sz w:val="24"/>
                <w:highlight w:val="none"/>
              </w:rPr>
              <w:t>元/份。</w:t>
            </w:r>
          </w:p>
        </w:tc>
      </w:tr>
      <w:tr w14:paraId="587C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8" w:type="dxa"/>
            <w:noWrap w:val="0"/>
            <w:vAlign w:val="center"/>
          </w:tcPr>
          <w:p w14:paraId="5F3D5B57">
            <w:pPr>
              <w:snapToGrid w:val="0"/>
              <w:rPr>
                <w:rFonts w:ascii="楷体_GB2312" w:eastAsia="楷体_GB2312"/>
                <w:bCs/>
                <w:color w:val="auto"/>
                <w:sz w:val="24"/>
                <w:highlight w:val="none"/>
              </w:rPr>
            </w:pPr>
            <w:r>
              <w:rPr>
                <w:rFonts w:hint="eastAsia" w:ascii="楷体_GB2312" w:eastAsia="楷体_GB2312"/>
                <w:bCs/>
                <w:color w:val="auto"/>
                <w:sz w:val="24"/>
                <w:highlight w:val="none"/>
              </w:rPr>
              <w:t>投资起点</w:t>
            </w:r>
          </w:p>
        </w:tc>
        <w:tc>
          <w:tcPr>
            <w:tcW w:w="6656" w:type="dxa"/>
            <w:noWrap w:val="0"/>
            <w:vAlign w:val="center"/>
          </w:tcPr>
          <w:p w14:paraId="3FEE0E0F">
            <w:pPr>
              <w:snapToGrid w:val="0"/>
              <w:rPr>
                <w:rFonts w:hint="eastAsia" w:ascii="楷体_GB2312" w:eastAsia="楷体_GB2312"/>
                <w:bCs/>
                <w:color w:val="auto"/>
                <w:sz w:val="24"/>
                <w:highlight w:val="none"/>
              </w:rPr>
            </w:pPr>
            <w:r>
              <w:rPr>
                <w:rFonts w:hint="eastAsia" w:ascii="楷体_GB2312" w:eastAsia="楷体_GB2312"/>
                <w:bCs/>
                <w:color w:val="auto"/>
                <w:sz w:val="24"/>
                <w:highlight w:val="none"/>
                <w:lang w:val="en-US" w:eastAsia="zh-CN"/>
              </w:rPr>
              <w:t>A类份额</w:t>
            </w:r>
            <w:r>
              <w:rPr>
                <w:rFonts w:hint="eastAsia" w:ascii="楷体_GB2312" w:eastAsia="楷体_GB2312"/>
                <w:bCs/>
                <w:color w:val="auto"/>
                <w:sz w:val="24"/>
                <w:highlight w:val="none"/>
              </w:rPr>
              <w:t>：投资起点为</w:t>
            </w:r>
            <w:r>
              <w:rPr>
                <w:rFonts w:hint="eastAsia" w:ascii="楷体_GB2312" w:eastAsia="楷体_GB2312"/>
                <w:bCs/>
                <w:color w:val="auto"/>
                <w:sz w:val="24"/>
                <w:highlight w:val="none"/>
                <w:lang w:val="en-US" w:eastAsia="zh-CN"/>
              </w:rPr>
              <w:t>1</w:t>
            </w:r>
            <w:r>
              <w:rPr>
                <w:rFonts w:hint="eastAsia" w:ascii="楷体_GB2312" w:eastAsia="楷体_GB2312"/>
                <w:bCs/>
                <w:color w:val="auto"/>
                <w:sz w:val="24"/>
                <w:highlight w:val="none"/>
              </w:rPr>
              <w:t>元，并以</w:t>
            </w:r>
            <w:r>
              <w:rPr>
                <w:rFonts w:hint="eastAsia" w:ascii="楷体_GB2312" w:eastAsia="楷体_GB2312"/>
                <w:bCs/>
                <w:color w:val="auto"/>
                <w:sz w:val="24"/>
                <w:highlight w:val="none"/>
                <w:lang w:val="en-US" w:eastAsia="zh-CN"/>
              </w:rPr>
              <w:t>0.01</w:t>
            </w:r>
            <w:r>
              <w:rPr>
                <w:rFonts w:hint="eastAsia" w:ascii="楷体_GB2312" w:eastAsia="楷体_GB2312"/>
                <w:bCs/>
                <w:color w:val="auto"/>
                <w:sz w:val="24"/>
                <w:highlight w:val="none"/>
              </w:rPr>
              <w:t>元为单位递增。</w:t>
            </w:r>
          </w:p>
          <w:p w14:paraId="5A3D7163">
            <w:pPr>
              <w:snapToGrid w:val="0"/>
              <w:rPr>
                <w:rFonts w:ascii="楷体_GB2312" w:eastAsia="楷体_GB2312"/>
                <w:bCs/>
                <w:color w:val="auto"/>
                <w:sz w:val="24"/>
                <w:highlight w:val="none"/>
              </w:rPr>
            </w:pPr>
            <w:r>
              <w:rPr>
                <w:rFonts w:hint="eastAsia" w:ascii="楷体_GB2312" w:eastAsia="楷体_GB2312"/>
                <w:bCs/>
                <w:color w:val="auto"/>
                <w:sz w:val="24"/>
                <w:highlight w:val="none"/>
              </w:rPr>
              <w:t>★如销售机构另有要求的，实际投资起点金额及递增金额应当以销售机构展示/提示为准，但不得低于本理财产品销售文件约定的投资起点金额及递增金额。</w:t>
            </w:r>
          </w:p>
        </w:tc>
      </w:tr>
      <w:tr w14:paraId="7A90C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8" w:type="dxa"/>
            <w:noWrap w:val="0"/>
            <w:vAlign w:val="center"/>
          </w:tcPr>
          <w:p w14:paraId="737643D5">
            <w:pPr>
              <w:snapToGrid w:val="0"/>
              <w:rPr>
                <w:rFonts w:hint="eastAsia" w:ascii="楷体_GB2312" w:eastAsia="楷体_GB2312"/>
                <w:bCs/>
                <w:color w:val="auto"/>
                <w:sz w:val="24"/>
                <w:highlight w:val="none"/>
              </w:rPr>
            </w:pPr>
            <w:r>
              <w:rPr>
                <w:rFonts w:hint="eastAsia" w:ascii="楷体_GB2312" w:eastAsia="楷体_GB2312"/>
                <w:bCs/>
                <w:color w:val="auto"/>
                <w:sz w:val="24"/>
                <w:highlight w:val="none"/>
                <w:lang w:val="en-US" w:eastAsia="zh-CN"/>
              </w:rPr>
              <w:t>产品募集规模下限</w:t>
            </w:r>
          </w:p>
        </w:tc>
        <w:tc>
          <w:tcPr>
            <w:tcW w:w="6656" w:type="dxa"/>
            <w:noWrap w:val="0"/>
            <w:vAlign w:val="center"/>
          </w:tcPr>
          <w:p w14:paraId="3A654E60">
            <w:pPr>
              <w:snapToGrid w:val="0"/>
              <w:rPr>
                <w:rFonts w:hint="eastAsia" w:ascii="楷体_GB2312" w:eastAsia="楷体_GB2312"/>
                <w:bCs/>
                <w:color w:val="auto"/>
                <w:sz w:val="24"/>
                <w:highlight w:val="none"/>
                <w:lang w:val="en-US" w:eastAsia="zh-CN"/>
              </w:rPr>
            </w:pPr>
            <w:r>
              <w:rPr>
                <w:rFonts w:hint="eastAsia" w:ascii="楷体_GB2312" w:eastAsia="楷体_GB2312"/>
                <w:bCs/>
                <w:color w:val="auto"/>
                <w:sz w:val="24"/>
                <w:highlight w:val="none"/>
                <w:lang w:val="en-US" w:eastAsia="zh-CN"/>
              </w:rPr>
              <w:t>本理财产品募集规模下限为：不设下限。</w:t>
            </w:r>
          </w:p>
          <w:p w14:paraId="335E4208">
            <w:pPr>
              <w:snapToGrid w:val="0"/>
              <w:rPr>
                <w:rFonts w:hint="eastAsia" w:ascii="楷体_GB2312" w:eastAsia="楷体_GB2312"/>
                <w:bCs/>
                <w:color w:val="auto"/>
                <w:sz w:val="24"/>
                <w:highlight w:val="none"/>
                <w:lang w:eastAsia="zh-CN"/>
              </w:rPr>
            </w:pPr>
            <w:r>
              <w:rPr>
                <w:rFonts w:hint="eastAsia" w:ascii="楷体_GB2312" w:hAnsi="楷体" w:eastAsia="楷体_GB2312"/>
                <w:color w:val="auto"/>
                <w:sz w:val="24"/>
                <w:highlight w:val="none"/>
              </w:rPr>
              <w:t>★</w:t>
            </w:r>
            <w:r>
              <w:rPr>
                <w:rFonts w:hint="eastAsia" w:ascii="楷体_GB2312" w:hAnsi="宋体" w:eastAsia="楷体_GB2312"/>
                <w:color w:val="auto"/>
                <w:sz w:val="24"/>
                <w:highlight w:val="none"/>
                <w:lang w:val="en-US" w:eastAsia="zh-CN"/>
              </w:rPr>
              <w:t>本理财产品</w:t>
            </w:r>
            <w:r>
              <w:rPr>
                <w:rFonts w:hint="eastAsia" w:ascii="楷体_GB2312" w:hAnsi="宋体" w:eastAsia="楷体_GB2312"/>
                <w:color w:val="auto"/>
                <w:sz w:val="24"/>
                <w:highlight w:val="none"/>
              </w:rPr>
              <w:t>募集期届满或</w:t>
            </w:r>
            <w:r>
              <w:rPr>
                <w:rFonts w:hint="eastAsia" w:ascii="楷体_GB2312" w:hAnsi="宋体" w:eastAsia="楷体_GB2312"/>
                <w:color w:val="auto"/>
                <w:sz w:val="24"/>
                <w:highlight w:val="none"/>
                <w:lang w:eastAsia="zh-CN"/>
              </w:rPr>
              <w:t>产品管理人</w:t>
            </w:r>
            <w:r>
              <w:rPr>
                <w:rFonts w:hint="eastAsia" w:ascii="楷体_GB2312" w:hAnsi="宋体" w:eastAsia="楷体_GB2312"/>
                <w:color w:val="auto"/>
                <w:sz w:val="24"/>
                <w:highlight w:val="none"/>
              </w:rPr>
              <w:t>提前</w:t>
            </w:r>
            <w:r>
              <w:rPr>
                <w:rFonts w:hint="eastAsia" w:ascii="楷体_GB2312" w:hAnsi="宋体" w:eastAsia="楷体_GB2312"/>
                <w:color w:val="auto"/>
                <w:sz w:val="24"/>
                <w:highlight w:val="none"/>
                <w:lang w:val="en-US" w:eastAsia="zh-CN"/>
              </w:rPr>
              <w:t>/延迟</w:t>
            </w:r>
            <w:r>
              <w:rPr>
                <w:rFonts w:hint="eastAsia" w:ascii="楷体_GB2312" w:hAnsi="宋体" w:eastAsia="楷体_GB2312"/>
                <w:color w:val="auto"/>
                <w:sz w:val="24"/>
                <w:highlight w:val="none"/>
              </w:rPr>
              <w:t>结束募集期时，若募集资金达到募集下限，则</w:t>
            </w:r>
            <w:r>
              <w:rPr>
                <w:rFonts w:hint="eastAsia" w:ascii="楷体_GB2312" w:hAnsi="宋体" w:eastAsia="楷体_GB2312"/>
                <w:color w:val="auto"/>
                <w:sz w:val="24"/>
                <w:highlight w:val="none"/>
                <w:lang w:val="en-US" w:eastAsia="zh-CN"/>
              </w:rPr>
              <w:t>本</w:t>
            </w:r>
            <w:r>
              <w:rPr>
                <w:rFonts w:hint="eastAsia" w:ascii="楷体_GB2312" w:hAnsi="宋体" w:eastAsia="楷体_GB2312"/>
                <w:color w:val="auto"/>
                <w:sz w:val="24"/>
                <w:highlight w:val="none"/>
              </w:rPr>
              <w:t>理财产品成立；否则，</w:t>
            </w:r>
            <w:r>
              <w:rPr>
                <w:rFonts w:hint="eastAsia" w:ascii="楷体_GB2312" w:hAnsi="宋体" w:eastAsia="楷体_GB2312"/>
                <w:color w:val="auto"/>
                <w:sz w:val="24"/>
                <w:highlight w:val="none"/>
                <w:lang w:val="en-US" w:eastAsia="zh-CN"/>
              </w:rPr>
              <w:t>本</w:t>
            </w:r>
            <w:r>
              <w:rPr>
                <w:rFonts w:hint="eastAsia" w:ascii="楷体_GB2312" w:hAnsi="宋体" w:eastAsia="楷体_GB2312"/>
                <w:color w:val="auto"/>
                <w:sz w:val="24"/>
                <w:highlight w:val="none"/>
              </w:rPr>
              <w:t>理财产品不成立。</w:t>
            </w:r>
          </w:p>
        </w:tc>
      </w:tr>
      <w:tr w14:paraId="3EC89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2428" w:type="dxa"/>
            <w:noWrap w:val="0"/>
            <w:vAlign w:val="center"/>
          </w:tcPr>
          <w:p w14:paraId="76F4BF20">
            <w:pPr>
              <w:snapToGrid w:val="0"/>
              <w:rPr>
                <w:rFonts w:hint="eastAsia" w:ascii="楷体_GB2312" w:eastAsia="楷体_GB2312"/>
                <w:bCs/>
                <w:color w:val="auto"/>
                <w:sz w:val="24"/>
                <w:highlight w:val="none"/>
                <w:lang w:val="en-US" w:eastAsia="zh-CN"/>
              </w:rPr>
            </w:pPr>
            <w:r>
              <w:rPr>
                <w:rFonts w:hint="eastAsia" w:ascii="楷体_GB2312" w:eastAsia="楷体_GB2312"/>
                <w:bCs/>
                <w:color w:val="auto"/>
                <w:sz w:val="24"/>
                <w:highlight w:val="none"/>
                <w:lang w:val="en-US" w:eastAsia="zh-CN"/>
              </w:rPr>
              <w:t>产品募集规模上限</w:t>
            </w:r>
          </w:p>
        </w:tc>
        <w:tc>
          <w:tcPr>
            <w:tcW w:w="6656" w:type="dxa"/>
            <w:noWrap w:val="0"/>
            <w:vAlign w:val="center"/>
          </w:tcPr>
          <w:p w14:paraId="13D9F3E4">
            <w:pPr>
              <w:snapToGrid w:val="0"/>
              <w:rPr>
                <w:rFonts w:hint="eastAsia" w:ascii="楷体_GB2312" w:eastAsia="楷体_GB2312"/>
                <w:bCs/>
                <w:color w:val="auto"/>
                <w:sz w:val="24"/>
                <w:highlight w:val="none"/>
                <w:lang w:val="en-US" w:eastAsia="zh-CN"/>
              </w:rPr>
            </w:pPr>
            <w:r>
              <w:rPr>
                <w:rFonts w:hint="eastAsia" w:ascii="楷体_GB2312" w:eastAsia="楷体_GB2312"/>
                <w:bCs/>
                <w:color w:val="auto"/>
                <w:sz w:val="24"/>
                <w:highlight w:val="none"/>
                <w:lang w:val="en-US" w:eastAsia="zh-CN"/>
              </w:rPr>
              <w:t>本理财产品募集规模上限为：100亿元。</w:t>
            </w:r>
          </w:p>
          <w:p w14:paraId="0FAB3AC1">
            <w:pPr>
              <w:snapToGrid w:val="0"/>
              <w:rPr>
                <w:rFonts w:hint="eastAsia" w:ascii="楷体_GB2312" w:hAnsi="宋体" w:eastAsia="楷体_GB2312"/>
                <w:color w:val="auto"/>
                <w:sz w:val="24"/>
                <w:highlight w:val="none"/>
                <w:lang w:val="en-US" w:eastAsia="zh-CN"/>
              </w:rPr>
            </w:pPr>
            <w:r>
              <w:rPr>
                <w:rFonts w:hint="eastAsia" w:ascii="楷体_GB2312" w:hAnsi="楷体" w:eastAsia="楷体_GB2312"/>
                <w:color w:val="auto"/>
                <w:sz w:val="24"/>
                <w:highlight w:val="none"/>
              </w:rPr>
              <w:t>★</w:t>
            </w:r>
            <w:r>
              <w:rPr>
                <w:rFonts w:hint="eastAsia" w:ascii="楷体_GB2312" w:hAnsi="宋体" w:eastAsia="楷体_GB2312"/>
                <w:color w:val="auto"/>
                <w:sz w:val="24"/>
                <w:highlight w:val="none"/>
                <w:lang w:eastAsia="zh-CN"/>
              </w:rPr>
              <w:t>产品管理人</w:t>
            </w:r>
            <w:r>
              <w:rPr>
                <w:rFonts w:hint="eastAsia" w:ascii="楷体_GB2312" w:hAnsi="宋体" w:eastAsia="楷体_GB2312"/>
                <w:color w:val="auto"/>
                <w:sz w:val="24"/>
                <w:highlight w:val="none"/>
              </w:rPr>
              <w:t>有权根据市场情况调整</w:t>
            </w:r>
            <w:r>
              <w:rPr>
                <w:rFonts w:hint="eastAsia" w:ascii="楷体_GB2312" w:hAnsi="宋体" w:eastAsia="楷体_GB2312" w:cs="Times New Roman"/>
                <w:color w:val="auto"/>
                <w:sz w:val="24"/>
                <w:highlight w:val="none"/>
                <w:lang w:val="en-US" w:eastAsia="zh-CN"/>
              </w:rPr>
              <w:t>产品募集规模上限。</w:t>
            </w:r>
          </w:p>
        </w:tc>
      </w:tr>
      <w:tr w14:paraId="7159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9" w:hRule="atLeast"/>
        </w:trPr>
        <w:tc>
          <w:tcPr>
            <w:tcW w:w="2428" w:type="dxa"/>
            <w:noWrap w:val="0"/>
            <w:vAlign w:val="center"/>
          </w:tcPr>
          <w:p w14:paraId="53A191BE">
            <w:pPr>
              <w:snapToGrid w:val="0"/>
              <w:rPr>
                <w:rFonts w:hint="eastAsia" w:ascii="楷体_GB2312" w:eastAsia="楷体_GB2312"/>
                <w:bCs/>
                <w:color w:val="auto"/>
                <w:sz w:val="24"/>
                <w:highlight w:val="none"/>
              </w:rPr>
            </w:pPr>
            <w:r>
              <w:rPr>
                <w:rFonts w:hint="eastAsia" w:ascii="楷体_GB2312" w:eastAsia="楷体_GB2312"/>
                <w:bCs/>
                <w:color w:val="000000"/>
                <w:sz w:val="24"/>
                <w:highlight w:val="none"/>
              </w:rPr>
              <w:t>业绩比较基准</w:t>
            </w:r>
          </w:p>
        </w:tc>
        <w:tc>
          <w:tcPr>
            <w:tcW w:w="6656" w:type="dxa"/>
            <w:noWrap w:val="0"/>
            <w:vAlign w:val="center"/>
          </w:tcPr>
          <w:p w14:paraId="3C40CB28">
            <w:pPr>
              <w:rPr>
                <w:rFonts w:hint="eastAsia" w:ascii="楷体_GB2312" w:hAnsi="宋体" w:eastAsia="楷体_GB2312"/>
                <w:color w:val="000000"/>
                <w:sz w:val="24"/>
                <w:lang w:val="en-US" w:eastAsia="zh-CN"/>
              </w:rPr>
            </w:pPr>
            <w:r>
              <w:rPr>
                <w:rFonts w:hint="eastAsia" w:ascii="楷体_GB2312" w:eastAsia="楷体_GB2312"/>
                <w:bCs/>
                <w:color w:val="auto"/>
                <w:sz w:val="24"/>
                <w:highlight w:val="none"/>
                <w:lang w:val="en-US" w:eastAsia="zh-CN"/>
              </w:rPr>
              <w:t>A类份额</w:t>
            </w:r>
            <w:r>
              <w:rPr>
                <w:rFonts w:hint="eastAsia" w:ascii="楷体_GB2312" w:eastAsia="楷体_GB2312"/>
                <w:bCs/>
                <w:color w:val="auto"/>
                <w:sz w:val="24"/>
                <w:highlight w:val="none"/>
              </w:rPr>
              <w:t>：</w:t>
            </w:r>
            <w:r>
              <w:rPr>
                <w:rFonts w:hint="eastAsia" w:ascii="楷体_GB2312" w:hAnsi="宋体" w:eastAsia="楷体_GB2312"/>
                <w:color w:val="000000"/>
                <w:sz w:val="24"/>
              </w:rPr>
              <w:t>业绩比较基准为</w:t>
            </w:r>
            <w:r>
              <w:rPr>
                <w:rFonts w:hint="eastAsia" w:ascii="楷体_GB2312" w:eastAsia="楷体_GB2312"/>
                <w:bCs/>
                <w:color w:val="auto"/>
                <w:sz w:val="24"/>
                <w:highlight w:val="none"/>
                <w:lang w:val="en-US" w:eastAsia="zh-CN"/>
              </w:rPr>
              <w:t>1.80%-2.30%</w:t>
            </w:r>
            <w:r>
              <w:rPr>
                <w:rFonts w:hint="eastAsia" w:ascii="楷体_GB2312" w:hAnsi="宋体" w:eastAsia="楷体_GB2312"/>
                <w:color w:val="000000"/>
                <w:sz w:val="24"/>
                <w:lang w:eastAsia="zh-CN"/>
              </w:rPr>
              <w:t>。</w:t>
            </w:r>
          </w:p>
          <w:p w14:paraId="2F028C09">
            <w:pPr>
              <w:rPr>
                <w:rFonts w:hint="eastAsia"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本理财产品业绩比较基准是产品管理人在《理财产品说明书》约定的投资范围内，根据产品投资策略、市场环境、各类资产的投资比例，并同时参考发行时已知的中债-综合财富（1-3年）指数收益率、上证指数收益率、绝对收益基金收益率相关数据以及产品综合费率等因素综合测算而得出。</w:t>
            </w:r>
          </w:p>
          <w:p w14:paraId="1AFC590B">
            <w:pPr>
              <w:rPr>
                <w:rFonts w:hint="eastAsia" w:ascii="楷体_GB2312" w:hAnsi="宋体" w:eastAsia="楷体_GB2312"/>
                <w:b/>
                <w:bCs/>
                <w:color w:val="000000"/>
                <w:sz w:val="24"/>
                <w:highlight w:val="none"/>
              </w:rPr>
            </w:pPr>
            <w:r>
              <w:rPr>
                <w:rFonts w:hint="eastAsia" w:ascii="楷体_GB2312" w:hAnsi="楷体" w:eastAsia="楷体_GB2312"/>
                <w:sz w:val="24"/>
                <w:highlight w:val="none"/>
              </w:rPr>
              <w:t>★</w:t>
            </w:r>
            <w:r>
              <w:rPr>
                <w:rFonts w:hint="eastAsia" w:ascii="楷体_GB2312" w:hAnsi="宋体" w:eastAsia="楷体_GB2312"/>
                <w:color w:val="000000"/>
                <w:sz w:val="24"/>
                <w:highlight w:val="none"/>
              </w:rPr>
              <w:t>业绩比较基准是</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管理人基于产品性质、投资策略、过往经验、市场预判等因素对</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产品设定的投资目标。</w:t>
            </w:r>
            <w:r>
              <w:rPr>
                <w:rFonts w:hint="eastAsia" w:ascii="楷体_GB2312" w:hAnsi="宋体" w:eastAsia="楷体_GB2312"/>
                <w:b/>
                <w:bCs/>
                <w:color w:val="000000"/>
                <w:sz w:val="24"/>
                <w:highlight w:val="none"/>
              </w:rPr>
              <w:t>业绩比较基准不是预期收益率，不代表产品的未来表现和实际收益，不构成对产品收益的承诺</w:t>
            </w:r>
            <w:r>
              <w:rPr>
                <w:rFonts w:hint="eastAsia" w:ascii="楷体_GB2312" w:hAnsi="宋体" w:eastAsia="楷体_GB2312"/>
                <w:b/>
                <w:bCs/>
                <w:color w:val="000000"/>
                <w:sz w:val="24"/>
                <w:highlight w:val="none"/>
                <w:lang w:eastAsia="zh-Hans"/>
              </w:rPr>
              <w:t>，投资</w:t>
            </w:r>
            <w:r>
              <w:rPr>
                <w:rFonts w:hint="eastAsia" w:ascii="楷体_GB2312" w:hAnsi="宋体" w:eastAsia="楷体_GB2312"/>
                <w:b/>
                <w:bCs/>
                <w:color w:val="000000"/>
                <w:sz w:val="24"/>
                <w:highlight w:val="none"/>
              </w:rPr>
              <w:t>须</w:t>
            </w:r>
            <w:r>
              <w:rPr>
                <w:rFonts w:hint="eastAsia" w:ascii="楷体_GB2312" w:hAnsi="宋体" w:eastAsia="楷体_GB2312"/>
                <w:b/>
                <w:bCs/>
                <w:color w:val="000000"/>
                <w:sz w:val="24"/>
                <w:highlight w:val="none"/>
                <w:lang w:eastAsia="zh-Hans"/>
              </w:rPr>
              <w:t>谨慎</w:t>
            </w:r>
            <w:r>
              <w:rPr>
                <w:rFonts w:hint="eastAsia" w:ascii="楷体_GB2312" w:hAnsi="宋体" w:eastAsia="楷体_GB2312"/>
                <w:b/>
                <w:bCs/>
                <w:color w:val="000000"/>
                <w:sz w:val="24"/>
                <w:highlight w:val="none"/>
              </w:rPr>
              <w:t>。</w:t>
            </w:r>
          </w:p>
          <w:p w14:paraId="5F7DCC4E">
            <w:pPr>
              <w:snapToGrid w:val="0"/>
              <w:rPr>
                <w:rFonts w:hint="default" w:ascii="楷体_GB2312" w:hAnsi="宋体" w:eastAsia="楷体_GB2312"/>
                <w:b/>
                <w:bCs/>
                <w:color w:val="auto"/>
                <w:sz w:val="24"/>
                <w:highlight w:val="none"/>
                <w:lang w:val="en-US" w:eastAsia="zh-CN"/>
              </w:rPr>
            </w:pPr>
            <w:r>
              <w:rPr>
                <w:rFonts w:hint="eastAsia" w:ascii="楷体_GB2312" w:hAnsi="宋体" w:eastAsia="楷体_GB2312"/>
                <w:color w:val="000000"/>
                <w:sz w:val="24"/>
                <w:highlight w:val="none"/>
              </w:rPr>
              <w:t>若今后法律法规发生变化，或有其他代表性更强、更科学客观的业绩比较基准适用于本</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产品时，</w:t>
            </w:r>
            <w:r>
              <w:rPr>
                <w:rFonts w:ascii="楷体_GB2312" w:hAnsi="Times New Roman" w:eastAsia="楷体_GB2312" w:cs="楷体_GB2312"/>
                <w:b w:val="0"/>
                <w:bCs w:val="0"/>
                <w:i w:val="0"/>
                <w:iCs w:val="0"/>
                <w:caps w:val="0"/>
                <w:color w:val="000000"/>
                <w:spacing w:val="0"/>
                <w:sz w:val="24"/>
                <w:szCs w:val="24"/>
                <w:highlight w:val="none"/>
              </w:rPr>
              <w:t>产品管理人应根据市场研判等情况审慎决定业绩比较基准的调整事项。如确需调整，除应通过代销机构网站等常规展示方式向投资者充分、</w:t>
            </w:r>
            <w:r>
              <w:rPr>
                <w:rFonts w:hint="eastAsia" w:ascii="楷体_GB2312" w:hAnsi="Times New Roman" w:eastAsia="楷体_GB2312" w:cs="楷体_GB2312"/>
                <w:b w:val="0"/>
                <w:bCs w:val="0"/>
                <w:i w:val="0"/>
                <w:iCs w:val="0"/>
                <w:caps w:val="0"/>
                <w:color w:val="000000"/>
                <w:spacing w:val="0"/>
                <w:sz w:val="24"/>
                <w:szCs w:val="24"/>
                <w:highlight w:val="none"/>
                <w:lang w:val="en-US" w:eastAsia="zh-CN"/>
              </w:rPr>
              <w:t>醒目披露</w:t>
            </w:r>
            <w:r>
              <w:rPr>
                <w:rFonts w:ascii="楷体_GB2312" w:hAnsi="Times New Roman" w:eastAsia="楷体_GB2312" w:cs="楷体_GB2312"/>
                <w:b w:val="0"/>
                <w:bCs w:val="0"/>
                <w:i w:val="0"/>
                <w:iCs w:val="0"/>
                <w:caps w:val="0"/>
                <w:color w:val="000000"/>
                <w:spacing w:val="0"/>
                <w:sz w:val="24"/>
                <w:szCs w:val="24"/>
                <w:highlight w:val="none"/>
              </w:rPr>
              <w:t>调整信息和原因外，还应按照信息披露相关要求及时履行向理财产品持有人的告知义务</w:t>
            </w:r>
            <w:r>
              <w:rPr>
                <w:rFonts w:hint="eastAsia" w:ascii="楷体_GB2312" w:hAnsi="Times New Roman" w:eastAsia="楷体_GB2312" w:cs="楷体_GB2312"/>
                <w:b w:val="0"/>
                <w:bCs w:val="0"/>
                <w:i w:val="0"/>
                <w:iCs w:val="0"/>
                <w:caps w:val="0"/>
                <w:color w:val="000000"/>
                <w:spacing w:val="0"/>
                <w:sz w:val="24"/>
                <w:szCs w:val="24"/>
                <w:highlight w:val="none"/>
                <w:lang w:val="en-US" w:eastAsia="zh-CN"/>
              </w:rPr>
              <w:t>。</w:t>
            </w:r>
          </w:p>
        </w:tc>
      </w:tr>
      <w:tr w14:paraId="70AB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2428" w:type="dxa"/>
            <w:noWrap w:val="0"/>
            <w:vAlign w:val="center"/>
          </w:tcPr>
          <w:p w14:paraId="01B7B041">
            <w:pPr>
              <w:snapToGrid w:val="0"/>
              <w:rPr>
                <w:rFonts w:ascii="楷体_GB2312" w:eastAsia="楷体_GB2312"/>
                <w:bCs/>
                <w:color w:val="auto"/>
                <w:sz w:val="24"/>
                <w:highlight w:val="none"/>
              </w:rPr>
            </w:pPr>
            <w:r>
              <w:rPr>
                <w:rFonts w:hint="eastAsia" w:ascii="楷体_GB2312" w:eastAsia="楷体_GB2312"/>
                <w:bCs/>
                <w:color w:val="auto"/>
                <w:sz w:val="24"/>
                <w:highlight w:val="none"/>
              </w:rPr>
              <w:t>收益分配</w:t>
            </w:r>
            <w:r>
              <w:rPr>
                <w:rFonts w:hint="eastAsia" w:ascii="楷体_GB2312" w:eastAsia="楷体_GB2312"/>
                <w:bCs/>
                <w:color w:val="auto"/>
                <w:sz w:val="24"/>
                <w:highlight w:val="none"/>
                <w:lang w:val="en-US" w:eastAsia="zh-CN"/>
              </w:rPr>
              <w:t>方式</w:t>
            </w:r>
          </w:p>
        </w:tc>
        <w:tc>
          <w:tcPr>
            <w:tcW w:w="6656" w:type="dxa"/>
            <w:noWrap w:val="0"/>
            <w:vAlign w:val="center"/>
          </w:tcPr>
          <w:p w14:paraId="644D4433">
            <w:pPr>
              <w:rPr>
                <w:rFonts w:ascii="楷体_GB2312" w:hAnsi="宋体" w:eastAsia="楷体_GB2312"/>
                <w:color w:val="auto"/>
                <w:sz w:val="24"/>
                <w:highlight w:val="none"/>
              </w:rPr>
            </w:pPr>
            <w:r>
              <w:rPr>
                <w:rFonts w:hint="eastAsia" w:ascii="楷体_GB2312" w:hAnsi="宋体" w:eastAsia="楷体_GB2312"/>
                <w:color w:val="000000"/>
                <w:sz w:val="24"/>
              </w:rPr>
              <w:t>★</w:t>
            </w:r>
            <w:r>
              <w:rPr>
                <w:rFonts w:hint="eastAsia" w:ascii="楷体_GB2312" w:hAnsi="宋体" w:eastAsia="楷体_GB2312" w:cs="Times New Roman"/>
                <w:b w:val="0"/>
                <w:bCs w:val="0"/>
                <w:color w:val="auto"/>
                <w:sz w:val="24"/>
                <w:highlight w:val="none"/>
              </w:rPr>
              <w:t>产品管理人将根据收益分配原则进行不定期分配，收益分配方式仅为现金分红。</w:t>
            </w:r>
          </w:p>
        </w:tc>
      </w:tr>
      <w:tr w14:paraId="680B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428" w:type="dxa"/>
            <w:noWrap w:val="0"/>
            <w:vAlign w:val="center"/>
          </w:tcPr>
          <w:p w14:paraId="5D045E35">
            <w:pPr>
              <w:rPr>
                <w:rFonts w:ascii="楷体_GB2312" w:hAnsi="宋体" w:eastAsia="楷体_GB2312"/>
                <w:color w:val="auto"/>
                <w:sz w:val="24"/>
                <w:highlight w:val="none"/>
              </w:rPr>
            </w:pPr>
            <w:r>
              <w:rPr>
                <w:rFonts w:hint="eastAsia" w:ascii="楷体_GB2312" w:hAnsi="宋体" w:eastAsia="楷体_GB2312"/>
                <w:b w:val="0"/>
                <w:bCs w:val="0"/>
                <w:color w:val="auto"/>
                <w:sz w:val="24"/>
                <w:highlight w:val="none"/>
              </w:rPr>
              <w:t>★产品费用</w:t>
            </w:r>
          </w:p>
        </w:tc>
        <w:tc>
          <w:tcPr>
            <w:tcW w:w="6656" w:type="dxa"/>
            <w:noWrap w:val="0"/>
            <w:vAlign w:val="center"/>
          </w:tcPr>
          <w:p w14:paraId="11560D97">
            <w:pPr>
              <w:rPr>
                <w:rFonts w:hint="eastAsia" w:ascii="楷体_GB2312" w:hAnsi="宋体" w:eastAsia="楷体_GB2312"/>
                <w:b/>
                <w:bCs/>
                <w:color w:val="auto"/>
                <w:sz w:val="24"/>
                <w:highlight w:val="none"/>
              </w:rPr>
            </w:pPr>
            <w:r>
              <w:rPr>
                <w:rFonts w:hint="eastAsia" w:ascii="楷体_GB2312" w:hAnsi="宋体" w:eastAsia="楷体_GB2312"/>
                <w:b/>
                <w:bCs/>
                <w:color w:val="auto"/>
                <w:sz w:val="24"/>
                <w:highlight w:val="none"/>
              </w:rPr>
              <w:t>★1</w:t>
            </w:r>
            <w:r>
              <w:rPr>
                <w:rFonts w:ascii="楷体_GB2312" w:hAnsi="宋体" w:eastAsia="楷体_GB2312"/>
                <w:b/>
                <w:bCs/>
                <w:color w:val="auto"/>
                <w:sz w:val="24"/>
                <w:highlight w:val="none"/>
              </w:rPr>
              <w:t>.</w:t>
            </w:r>
            <w:r>
              <w:rPr>
                <w:rFonts w:hint="eastAsia" w:ascii="楷体_GB2312" w:hAnsi="宋体" w:eastAsia="楷体_GB2312"/>
                <w:b/>
                <w:bCs/>
                <w:color w:val="auto"/>
                <w:sz w:val="24"/>
                <w:highlight w:val="none"/>
              </w:rPr>
              <w:t>销售手续费率</w:t>
            </w:r>
            <w:r>
              <w:rPr>
                <w:rFonts w:hint="eastAsia" w:ascii="楷体_GB2312" w:hAnsi="宋体" w:eastAsia="楷体_GB2312"/>
                <w:b/>
                <w:bCs/>
                <w:color w:val="auto"/>
                <w:sz w:val="24"/>
                <w:highlight w:val="none"/>
                <w:lang w:eastAsia="zh-CN"/>
              </w:rPr>
              <w:t>（</w:t>
            </w:r>
            <w:r>
              <w:rPr>
                <w:rFonts w:hint="eastAsia" w:ascii="楷体_GB2312" w:hAnsi="宋体" w:eastAsia="楷体_GB2312"/>
                <w:b/>
                <w:bCs/>
                <w:color w:val="auto"/>
                <w:sz w:val="24"/>
                <w:highlight w:val="none"/>
                <w:lang w:val="en-US" w:eastAsia="zh-CN"/>
              </w:rPr>
              <w:t>代销机构收取）</w:t>
            </w:r>
            <w:r>
              <w:rPr>
                <w:rFonts w:hint="eastAsia" w:ascii="楷体_GB2312" w:hAnsi="宋体" w:eastAsia="楷体_GB2312"/>
                <w:b/>
                <w:bCs/>
                <w:color w:val="auto"/>
                <w:sz w:val="24"/>
                <w:highlight w:val="none"/>
              </w:rPr>
              <w:t>：</w:t>
            </w:r>
          </w:p>
          <w:p w14:paraId="3A6698D4">
            <w:pPr>
              <w:rPr>
                <w:rFonts w:hint="eastAsia" w:ascii="楷体_GB2312" w:hAnsi="宋体" w:eastAsia="楷体_GB2312"/>
                <w:color w:val="auto"/>
                <w:sz w:val="24"/>
                <w:highlight w:val="none"/>
                <w:lang w:val="en-US" w:eastAsia="zh-CN"/>
              </w:rPr>
            </w:pPr>
            <w:r>
              <w:rPr>
                <w:rFonts w:hint="eastAsia" w:ascii="楷体_GB2312" w:eastAsia="楷体_GB2312"/>
                <w:bCs/>
                <w:color w:val="auto"/>
                <w:sz w:val="24"/>
                <w:highlight w:val="none"/>
                <w:lang w:val="en-US" w:eastAsia="zh-CN"/>
              </w:rPr>
              <w:t>A类份额</w:t>
            </w:r>
            <w:r>
              <w:rPr>
                <w:rFonts w:hint="eastAsia" w:ascii="楷体_GB2312" w:eastAsia="楷体_GB2312"/>
                <w:bCs/>
                <w:color w:val="auto"/>
                <w:sz w:val="24"/>
                <w:highlight w:val="none"/>
              </w:rPr>
              <w:t>：</w:t>
            </w:r>
            <w:r>
              <w:rPr>
                <w:rFonts w:hint="eastAsia" w:ascii="楷体_GB2312" w:eastAsia="楷体_GB2312"/>
                <w:bCs/>
                <w:color w:val="auto"/>
                <w:sz w:val="24"/>
                <w:highlight w:val="none"/>
                <w:lang w:val="en-US" w:eastAsia="zh-CN"/>
              </w:rPr>
              <w:t>0.20%/年</w:t>
            </w:r>
          </w:p>
          <w:p w14:paraId="28CEC392">
            <w:pPr>
              <w:rPr>
                <w:rFonts w:hint="eastAsia" w:ascii="楷体_GB2312" w:hAnsi="宋体" w:eastAsia="楷体_GB2312"/>
                <w:color w:val="auto"/>
                <w:sz w:val="24"/>
                <w:highlight w:val="none"/>
                <w:lang w:eastAsia="zh-CN"/>
              </w:rPr>
            </w:pPr>
            <w:r>
              <w:rPr>
                <w:rFonts w:hint="eastAsia" w:ascii="楷体_GB2312" w:hAnsi="宋体" w:eastAsia="楷体_GB2312"/>
                <w:b/>
                <w:bCs/>
                <w:color w:val="auto"/>
                <w:sz w:val="24"/>
                <w:highlight w:val="none"/>
              </w:rPr>
              <w:t>★2</w:t>
            </w:r>
            <w:r>
              <w:rPr>
                <w:rFonts w:ascii="楷体_GB2312" w:hAnsi="宋体" w:eastAsia="楷体_GB2312"/>
                <w:b/>
                <w:bCs/>
                <w:color w:val="auto"/>
                <w:sz w:val="24"/>
                <w:highlight w:val="none"/>
              </w:rPr>
              <w:t>.</w:t>
            </w:r>
            <w:r>
              <w:rPr>
                <w:rFonts w:hint="eastAsia" w:ascii="楷体_GB2312" w:hAnsi="宋体" w:eastAsia="楷体_GB2312"/>
                <w:b/>
                <w:bCs/>
                <w:color w:val="auto"/>
                <w:sz w:val="24"/>
                <w:highlight w:val="none"/>
              </w:rPr>
              <w:t>固定管理费率</w:t>
            </w:r>
            <w:r>
              <w:rPr>
                <w:rFonts w:hint="eastAsia" w:ascii="楷体_GB2312" w:hAnsi="宋体" w:eastAsia="楷体_GB2312"/>
                <w:b/>
                <w:bCs/>
                <w:color w:val="auto"/>
                <w:sz w:val="24"/>
                <w:highlight w:val="none"/>
                <w:lang w:eastAsia="zh-CN"/>
              </w:rPr>
              <w:t>（</w:t>
            </w:r>
            <w:r>
              <w:rPr>
                <w:rFonts w:hint="eastAsia" w:ascii="楷体_GB2312" w:hAnsi="宋体" w:eastAsia="楷体_GB2312"/>
                <w:b/>
                <w:bCs/>
                <w:color w:val="auto"/>
                <w:sz w:val="24"/>
                <w:highlight w:val="none"/>
                <w:lang w:val="en-US" w:eastAsia="zh-CN"/>
              </w:rPr>
              <w:t>产品管理人收取）</w:t>
            </w:r>
            <w:r>
              <w:rPr>
                <w:rFonts w:hint="eastAsia" w:ascii="楷体_GB2312" w:hAnsi="宋体" w:eastAsia="楷体_GB2312"/>
                <w:b/>
                <w:bCs/>
                <w:color w:val="auto"/>
                <w:sz w:val="24"/>
                <w:highlight w:val="none"/>
              </w:rPr>
              <w:t>：</w:t>
            </w:r>
            <w:r>
              <w:rPr>
                <w:rFonts w:hint="eastAsia" w:ascii="楷体_GB2312" w:eastAsia="楷体_GB2312"/>
                <w:bCs/>
                <w:color w:val="auto"/>
                <w:sz w:val="24"/>
                <w:highlight w:val="none"/>
                <w:lang w:val="en-US" w:eastAsia="zh-CN"/>
              </w:rPr>
              <w:t>0.10%/年</w:t>
            </w:r>
            <w:r>
              <w:rPr>
                <w:rFonts w:hint="eastAsia" w:ascii="楷体_GB2312" w:hAnsi="宋体" w:eastAsia="楷体_GB2312"/>
                <w:color w:val="auto"/>
                <w:sz w:val="24"/>
                <w:highlight w:val="none"/>
                <w:lang w:eastAsia="zh-CN"/>
              </w:rPr>
              <w:t>。</w:t>
            </w:r>
          </w:p>
          <w:p w14:paraId="77EAC413">
            <w:pPr>
              <w:rPr>
                <w:rFonts w:hint="eastAsia" w:ascii="楷体_GB2312" w:hAnsi="宋体" w:eastAsia="楷体_GB2312"/>
                <w:color w:val="auto"/>
                <w:sz w:val="24"/>
                <w:highlight w:val="none"/>
              </w:rPr>
            </w:pPr>
            <w:r>
              <w:rPr>
                <w:rFonts w:hint="eastAsia" w:ascii="楷体_GB2312" w:hAnsi="宋体" w:eastAsia="楷体_GB2312"/>
                <w:color w:val="auto"/>
                <w:sz w:val="24"/>
                <w:highlight w:val="none"/>
              </w:rPr>
              <w:t>固定管理费原则上按日计提，由产品管理人与产品托管人核对一致，从理财财产中定期支付给产品管理人。</w:t>
            </w:r>
          </w:p>
          <w:p w14:paraId="7FE6F533">
            <w:pPr>
              <w:rPr>
                <w:rFonts w:hint="eastAsia" w:ascii="楷体_GB2312" w:hAnsi="宋体" w:eastAsia="楷体_GB2312"/>
                <w:color w:val="auto"/>
                <w:sz w:val="24"/>
                <w:highlight w:val="none"/>
                <w:lang w:eastAsia="zh-CN"/>
              </w:rPr>
            </w:pPr>
            <w:r>
              <w:rPr>
                <w:rFonts w:hint="eastAsia" w:ascii="楷体_GB2312" w:hAnsi="宋体" w:eastAsia="楷体_GB2312"/>
                <w:b/>
                <w:bCs/>
                <w:color w:val="auto"/>
                <w:sz w:val="24"/>
                <w:highlight w:val="none"/>
              </w:rPr>
              <w:t>★3</w:t>
            </w:r>
            <w:r>
              <w:rPr>
                <w:rFonts w:ascii="楷体_GB2312" w:hAnsi="宋体" w:eastAsia="楷体_GB2312"/>
                <w:b/>
                <w:bCs/>
                <w:color w:val="auto"/>
                <w:sz w:val="24"/>
                <w:highlight w:val="none"/>
              </w:rPr>
              <w:t>.</w:t>
            </w:r>
            <w:r>
              <w:rPr>
                <w:rFonts w:hint="eastAsia" w:ascii="楷体_GB2312" w:hAnsi="宋体" w:eastAsia="楷体_GB2312"/>
                <w:b/>
                <w:bCs/>
                <w:color w:val="auto"/>
                <w:sz w:val="24"/>
                <w:highlight w:val="none"/>
              </w:rPr>
              <w:t>托管费率</w:t>
            </w:r>
            <w:r>
              <w:rPr>
                <w:rFonts w:hint="eastAsia" w:ascii="楷体_GB2312" w:hAnsi="宋体" w:eastAsia="楷体_GB2312"/>
                <w:b/>
                <w:bCs/>
                <w:color w:val="auto"/>
                <w:sz w:val="24"/>
                <w:highlight w:val="none"/>
                <w:lang w:eastAsia="zh-CN"/>
              </w:rPr>
              <w:t>（</w:t>
            </w:r>
            <w:r>
              <w:rPr>
                <w:rFonts w:hint="eastAsia" w:ascii="楷体_GB2312" w:hAnsi="宋体" w:eastAsia="楷体_GB2312"/>
                <w:b/>
                <w:bCs/>
                <w:color w:val="auto"/>
                <w:sz w:val="24"/>
                <w:highlight w:val="none"/>
                <w:lang w:val="en-US" w:eastAsia="zh-CN"/>
              </w:rPr>
              <w:t>产品托管人收取</w:t>
            </w:r>
            <w:r>
              <w:rPr>
                <w:rFonts w:hint="eastAsia" w:ascii="楷体_GB2312" w:hAnsi="宋体" w:eastAsia="楷体_GB2312"/>
                <w:b/>
                <w:bCs/>
                <w:color w:val="auto"/>
                <w:sz w:val="24"/>
                <w:highlight w:val="none"/>
                <w:lang w:eastAsia="zh-CN"/>
              </w:rPr>
              <w:t>）</w:t>
            </w:r>
            <w:r>
              <w:rPr>
                <w:rFonts w:hint="eastAsia" w:ascii="楷体_GB2312" w:hAnsi="宋体" w:eastAsia="楷体_GB2312"/>
                <w:b/>
                <w:bCs/>
                <w:color w:val="auto"/>
                <w:sz w:val="24"/>
                <w:highlight w:val="none"/>
              </w:rPr>
              <w:t>：</w:t>
            </w:r>
            <w:r>
              <w:rPr>
                <w:rFonts w:hint="eastAsia" w:ascii="楷体_GB2312" w:eastAsia="楷体_GB2312"/>
                <w:bCs/>
                <w:color w:val="auto"/>
                <w:sz w:val="24"/>
                <w:highlight w:val="none"/>
                <w:lang w:val="en-US" w:eastAsia="zh-CN"/>
              </w:rPr>
              <w:t>0.03%/年</w:t>
            </w:r>
          </w:p>
          <w:p w14:paraId="23BBEA94">
            <w:pPr>
              <w:jc w:val="left"/>
              <w:rPr>
                <w:rFonts w:hint="eastAsia" w:ascii="楷体_GB2312" w:hAnsi="宋体" w:eastAsia="楷体_GB2312"/>
                <w:b w:val="0"/>
                <w:bCs w:val="0"/>
                <w:color w:val="000000"/>
                <w:sz w:val="24"/>
                <w:highlight w:val="none"/>
              </w:rPr>
            </w:pPr>
            <w:r>
              <w:rPr>
                <w:rFonts w:hint="eastAsia" w:ascii="楷体_GB2312" w:hAnsi="宋体" w:eastAsia="楷体_GB2312"/>
                <w:b/>
                <w:bCs/>
                <w:color w:val="auto"/>
                <w:sz w:val="24"/>
                <w:highlight w:val="none"/>
              </w:rPr>
              <w:t>★4.</w:t>
            </w:r>
            <w:r>
              <w:rPr>
                <w:rFonts w:hint="eastAsia" w:ascii="楷体_GB2312" w:hAnsi="宋体" w:eastAsia="楷体_GB2312"/>
                <w:b/>
                <w:bCs/>
                <w:color w:val="000000"/>
                <w:sz w:val="24"/>
                <w:highlight w:val="none"/>
              </w:rPr>
              <w:t>超额业绩报酬</w:t>
            </w:r>
            <w:r>
              <w:rPr>
                <w:rFonts w:hint="eastAsia" w:ascii="楷体_GB2312" w:eastAsia="楷体_GB2312"/>
                <w:b/>
                <w:bCs/>
                <w:color w:val="000000"/>
                <w:sz w:val="24"/>
                <w:highlight w:val="none"/>
                <w:lang w:eastAsia="zh-CN"/>
              </w:rPr>
              <w:t>（</w:t>
            </w:r>
            <w:r>
              <w:rPr>
                <w:rFonts w:hint="eastAsia" w:ascii="楷体_GB2312" w:eastAsia="楷体_GB2312"/>
                <w:b/>
                <w:bCs/>
                <w:color w:val="000000"/>
                <w:sz w:val="24"/>
                <w:highlight w:val="none"/>
                <w:lang w:val="en-US" w:eastAsia="zh-CN"/>
              </w:rPr>
              <w:t>产品管理人收取，如有）</w:t>
            </w:r>
            <w:r>
              <w:rPr>
                <w:rFonts w:hint="eastAsia" w:ascii="楷体_GB2312" w:hAnsi="宋体" w:eastAsia="楷体_GB2312" w:cs="Times New Roman"/>
                <w:b/>
                <w:bCs/>
                <w:color w:val="auto"/>
                <w:sz w:val="24"/>
                <w:highlight w:val="none"/>
                <w:lang w:val="en-US" w:eastAsia="zh-CN"/>
              </w:rPr>
              <w:t>：</w:t>
            </w:r>
            <w:r>
              <w:rPr>
                <w:rFonts w:hint="eastAsia" w:ascii="楷体_GB2312" w:hAnsi="宋体" w:eastAsia="楷体_GB2312" w:cs="Times New Roman"/>
                <w:b w:val="0"/>
                <w:bCs w:val="0"/>
                <w:color w:val="auto"/>
                <w:sz w:val="24"/>
                <w:highlight w:val="none"/>
                <w:lang w:val="en-US" w:eastAsia="zh-CN"/>
              </w:rPr>
              <w:t>产品管理人根据理财投资情况计算超额业绩报酬，由产品管理人确定本理财产品的业绩比较基准，超过业绩比较基准区间上限的部分产品管理人提取80%</w:t>
            </w:r>
            <w:r>
              <w:rPr>
                <w:rFonts w:hint="eastAsia" w:ascii="楷体_GB2312" w:hAnsi="宋体" w:eastAsia="楷体_GB2312" w:cs="Times New Roman"/>
                <w:color w:val="auto"/>
                <w:sz w:val="24"/>
                <w:highlight w:val="none"/>
              </w:rPr>
              <w:t>作为超额业绩报酬。</w:t>
            </w:r>
          </w:p>
          <w:p w14:paraId="29AF8686">
            <w:pPr>
              <w:rPr>
                <w:rFonts w:hint="eastAsia" w:ascii="楷体_GB2312" w:hAnsi="宋体" w:eastAsia="楷体_GB2312"/>
                <w:color w:val="auto"/>
                <w:sz w:val="24"/>
                <w:highlight w:val="none"/>
              </w:rPr>
            </w:pPr>
            <w:r>
              <w:rPr>
                <w:rFonts w:hint="eastAsia" w:ascii="楷体_GB2312" w:hAnsi="宋体" w:eastAsia="楷体_GB2312"/>
                <w:b/>
                <w:bCs/>
                <w:color w:val="auto"/>
                <w:sz w:val="24"/>
                <w:highlight w:val="none"/>
              </w:rPr>
              <w:t>★</w:t>
            </w:r>
            <w:r>
              <w:rPr>
                <w:rFonts w:hint="eastAsia" w:ascii="楷体_GB2312" w:hAnsi="宋体" w:eastAsia="楷体_GB2312" w:cs="Times New Roman"/>
                <w:b/>
                <w:bCs/>
                <w:color w:val="auto"/>
                <w:sz w:val="24"/>
                <w:highlight w:val="none"/>
                <w:lang w:val="en-US" w:eastAsia="zh-CN"/>
              </w:rPr>
              <w:t>5.</w:t>
            </w:r>
            <w:r>
              <w:rPr>
                <w:rFonts w:hint="eastAsia" w:ascii="楷体_GB2312" w:hAnsi="宋体" w:eastAsia="楷体_GB2312" w:cs="Times New Roman"/>
                <w:b/>
                <w:bCs/>
                <w:color w:val="auto"/>
                <w:sz w:val="24"/>
                <w:highlight w:val="none"/>
              </w:rPr>
              <w:t>管理成本费用</w:t>
            </w:r>
            <w:r>
              <w:rPr>
                <w:rFonts w:hint="eastAsia" w:ascii="楷体_GB2312" w:hAnsi="宋体" w:eastAsia="楷体_GB2312" w:cs="Times New Roman"/>
                <w:b/>
                <w:bCs/>
                <w:color w:val="auto"/>
                <w:sz w:val="24"/>
                <w:highlight w:val="none"/>
                <w:lang w:eastAsia="zh-CN"/>
              </w:rPr>
              <w:t>（</w:t>
            </w:r>
            <w:r>
              <w:rPr>
                <w:rFonts w:hint="eastAsia" w:ascii="楷体_GB2312" w:hAnsi="宋体" w:eastAsia="楷体_GB2312" w:cs="Times New Roman"/>
                <w:b/>
                <w:bCs/>
                <w:color w:val="auto"/>
                <w:sz w:val="24"/>
                <w:highlight w:val="none"/>
                <w:lang w:val="en-US" w:eastAsia="zh-CN"/>
              </w:rPr>
              <w:t>相关机构收取</w:t>
            </w:r>
            <w:r>
              <w:rPr>
                <w:rFonts w:hint="eastAsia" w:ascii="楷体_GB2312" w:hAnsi="宋体" w:eastAsia="楷体_GB2312" w:cs="Times New Roman"/>
                <w:b/>
                <w:bCs/>
                <w:color w:val="auto"/>
                <w:sz w:val="24"/>
                <w:highlight w:val="none"/>
                <w:lang w:eastAsia="zh-CN"/>
              </w:rPr>
              <w:t>）</w:t>
            </w:r>
            <w:r>
              <w:rPr>
                <w:rFonts w:hint="eastAsia" w:ascii="楷体_GB2312" w:hAnsi="宋体" w:eastAsia="楷体_GB2312" w:cs="Times New Roman"/>
                <w:b/>
                <w:bCs/>
                <w:color w:val="auto"/>
                <w:sz w:val="24"/>
                <w:highlight w:val="none"/>
              </w:rPr>
              <w:t>：</w:t>
            </w:r>
            <w:r>
              <w:rPr>
                <w:rFonts w:hint="eastAsia" w:ascii="楷体_GB2312" w:hAnsi="宋体" w:eastAsia="楷体_GB2312"/>
                <w:color w:val="auto"/>
                <w:sz w:val="24"/>
                <w:highlight w:val="none"/>
              </w:rPr>
              <w:t>为本理财产品项下投资交易提供专属信托、保管、托管、咨询、顾问、管理等服务所产生的费用(如基金管理费、投资顾问费、信托保管费、信托报酬、各类信托费用等)和支出均属于本理财产品的管理成本费用，由相关机构(包括但不限于基金公司、信托公司、保管银行等)依照相关法律文件(包括但不限于基金合同、信托合同、保管合同、顾问协议等)约定的标准和条件扣除。</w:t>
            </w:r>
          </w:p>
          <w:p w14:paraId="79E82D3F">
            <w:pPr>
              <w:rPr>
                <w:rFonts w:hint="eastAsia" w:ascii="楷体_GB2312" w:hAnsi="宋体" w:eastAsia="楷体_GB2312"/>
                <w:color w:val="auto"/>
                <w:sz w:val="24"/>
                <w:highlight w:val="none"/>
                <w:lang w:val="en-US" w:eastAsia="zh-CN"/>
              </w:rPr>
            </w:pPr>
            <w:r>
              <w:rPr>
                <w:rFonts w:hint="eastAsia" w:ascii="楷体_GB2312" w:hAnsi="宋体" w:eastAsia="楷体_GB2312"/>
                <w:b/>
                <w:bCs/>
                <w:color w:val="auto"/>
                <w:sz w:val="24"/>
                <w:highlight w:val="none"/>
              </w:rPr>
              <w:t>★</w:t>
            </w:r>
            <w:r>
              <w:rPr>
                <w:rFonts w:hint="eastAsia" w:ascii="楷体_GB2312" w:hAnsi="宋体" w:eastAsia="楷体_GB2312"/>
                <w:b/>
                <w:bCs/>
                <w:color w:val="auto"/>
                <w:sz w:val="24"/>
                <w:highlight w:val="none"/>
                <w:lang w:val="en-US" w:eastAsia="zh-CN"/>
              </w:rPr>
              <w:t>6</w:t>
            </w:r>
            <w:r>
              <w:rPr>
                <w:rFonts w:hint="eastAsia" w:ascii="楷体_GB2312" w:hAnsi="宋体" w:eastAsia="楷体_GB2312"/>
                <w:b/>
                <w:bCs/>
                <w:color w:val="auto"/>
                <w:sz w:val="24"/>
                <w:highlight w:val="none"/>
              </w:rPr>
              <w:t>.</w:t>
            </w:r>
            <w:r>
              <w:rPr>
                <w:rFonts w:hint="eastAsia" w:ascii="楷体_GB2312" w:hAnsi="宋体" w:eastAsia="楷体_GB2312" w:cs="Times New Roman"/>
                <w:b/>
                <w:bCs/>
                <w:color w:val="auto"/>
                <w:sz w:val="24"/>
                <w:highlight w:val="none"/>
              </w:rPr>
              <w:t>其他成本费用</w:t>
            </w:r>
            <w:r>
              <w:rPr>
                <w:rFonts w:hint="eastAsia" w:ascii="楷体_GB2312" w:hAnsi="宋体" w:eastAsia="楷体_GB2312" w:cs="Times New Roman"/>
                <w:b/>
                <w:bCs/>
                <w:color w:val="auto"/>
                <w:sz w:val="24"/>
                <w:highlight w:val="none"/>
                <w:lang w:eastAsia="zh-CN"/>
              </w:rPr>
              <w:t>（</w:t>
            </w:r>
            <w:r>
              <w:rPr>
                <w:rFonts w:hint="eastAsia" w:ascii="楷体_GB2312" w:hAnsi="宋体" w:eastAsia="楷体_GB2312" w:cs="Times New Roman"/>
                <w:b/>
                <w:bCs/>
                <w:color w:val="auto"/>
                <w:sz w:val="24"/>
                <w:highlight w:val="none"/>
                <w:lang w:val="en-US" w:eastAsia="zh-CN"/>
              </w:rPr>
              <w:t>产品支付</w:t>
            </w:r>
            <w:r>
              <w:rPr>
                <w:rFonts w:hint="eastAsia" w:ascii="楷体_GB2312" w:hAnsi="宋体" w:eastAsia="楷体_GB2312" w:cs="Times New Roman"/>
                <w:b/>
                <w:bCs/>
                <w:color w:val="auto"/>
                <w:sz w:val="24"/>
                <w:highlight w:val="none"/>
                <w:lang w:eastAsia="zh-CN"/>
              </w:rPr>
              <w:t>）</w:t>
            </w:r>
            <w:r>
              <w:rPr>
                <w:rFonts w:hint="eastAsia" w:ascii="楷体_GB2312" w:hAnsi="宋体" w:eastAsia="楷体_GB2312" w:cs="Times New Roman"/>
                <w:b/>
                <w:bCs/>
                <w:color w:val="auto"/>
                <w:sz w:val="24"/>
                <w:highlight w:val="none"/>
              </w:rPr>
              <w:t>：</w:t>
            </w:r>
            <w:r>
              <w:rPr>
                <w:rFonts w:hint="eastAsia" w:ascii="楷体_GB2312" w:hAnsi="宋体" w:eastAsia="楷体_GB2312"/>
                <w:color w:val="auto"/>
                <w:sz w:val="24"/>
                <w:highlight w:val="none"/>
                <w:lang w:val="en-US" w:eastAsia="zh-CN"/>
              </w:rPr>
              <w:t>本理财产品运作和清算中产生的其他资金汇划费、结算费、交易手续费、注册登记费、账户服务费、进行本理财产品销售文件约定的投资而发生的交易费用、根据国家有关规定应当在本理财产品收益或资产中扣除的法定费用、本理财产品存续期间发生的信息披露费用、与本理财产品相关的会计师费（如审计费等）和律师费以及本理财产品销售文件约定可扣除的其他费用(包括交易发生的税费、手续费等)均属于本理财产品的其他成本费用，由产品管理人依照相关法律文件的约定在向投资者分配资金前从理财产品中支付。</w:t>
            </w:r>
          </w:p>
          <w:p w14:paraId="23621384">
            <w:pPr>
              <w:rPr>
                <w:rFonts w:ascii="楷体_GB2312" w:hAnsi="宋体" w:eastAsia="楷体_GB2312"/>
                <w:color w:val="auto"/>
                <w:sz w:val="24"/>
                <w:highlight w:val="none"/>
              </w:rPr>
            </w:pPr>
            <w:r>
              <w:rPr>
                <w:rFonts w:hint="eastAsia" w:ascii="楷体_GB2312" w:hAnsi="宋体" w:eastAsia="楷体_GB2312"/>
                <w:b/>
                <w:bCs/>
                <w:color w:val="auto"/>
                <w:sz w:val="24"/>
                <w:highlight w:val="none"/>
              </w:rPr>
              <w:t>★</w:t>
            </w:r>
            <w:r>
              <w:rPr>
                <w:rFonts w:hint="eastAsia" w:ascii="楷体_GB2312" w:hAnsi="宋体" w:eastAsia="楷体_GB2312"/>
                <w:b/>
                <w:bCs/>
                <w:color w:val="auto"/>
                <w:sz w:val="24"/>
                <w:highlight w:val="none"/>
                <w:lang w:val="en-US" w:eastAsia="zh-CN"/>
              </w:rPr>
              <w:t>产品费用详情请见</w:t>
            </w:r>
            <w:r>
              <w:rPr>
                <w:rFonts w:hint="eastAsia" w:ascii="楷体_GB2312" w:hAnsi="宋体" w:eastAsia="楷体_GB2312"/>
                <w:b/>
                <w:bCs/>
                <w:color w:val="auto"/>
                <w:sz w:val="24"/>
                <w:szCs w:val="24"/>
                <w:highlight w:val="none"/>
                <w:lang w:val="en-US" w:eastAsia="zh-CN"/>
              </w:rPr>
              <w:t>本《</w:t>
            </w:r>
            <w:r>
              <w:rPr>
                <w:rFonts w:hint="eastAsia" w:ascii="楷体_GB2312" w:eastAsia="楷体_GB2312"/>
                <w:b/>
                <w:bCs/>
                <w:color w:val="auto"/>
                <w:sz w:val="24"/>
                <w:highlight w:val="none"/>
                <w:lang w:val="en-US" w:eastAsia="zh-CN"/>
              </w:rPr>
              <w:t>理财产品说明书</w:t>
            </w:r>
            <w:r>
              <w:rPr>
                <w:rFonts w:hint="eastAsia" w:ascii="楷体_GB2312" w:hAnsi="宋体" w:eastAsia="楷体_GB2312"/>
                <w:b/>
                <w:bCs/>
                <w:color w:val="auto"/>
                <w:sz w:val="24"/>
                <w:szCs w:val="24"/>
                <w:highlight w:val="none"/>
                <w:lang w:val="en-US" w:eastAsia="zh-CN"/>
              </w:rPr>
              <w:t>》“</w:t>
            </w:r>
            <w:r>
              <w:rPr>
                <w:rFonts w:hint="eastAsia" w:ascii="楷体_GB2312" w:hAnsi="宋体" w:eastAsia="楷体_GB2312"/>
                <w:b/>
                <w:bCs/>
                <w:color w:val="auto"/>
                <w:sz w:val="24"/>
                <w:highlight w:val="none"/>
                <w:lang w:val="en-US" w:eastAsia="zh-CN"/>
              </w:rPr>
              <w:t>八</w:t>
            </w:r>
            <w:r>
              <w:rPr>
                <w:rFonts w:hint="eastAsia" w:ascii="楷体_GB2312" w:hAnsi="宋体" w:eastAsia="楷体_GB2312"/>
                <w:b/>
                <w:bCs/>
                <w:color w:val="auto"/>
                <w:sz w:val="24"/>
                <w:highlight w:val="none"/>
              </w:rPr>
              <w:t>、产品的费用</w:t>
            </w:r>
            <w:r>
              <w:rPr>
                <w:rFonts w:hint="eastAsia" w:ascii="楷体_GB2312" w:hAnsi="宋体" w:eastAsia="楷体_GB2312"/>
                <w:b/>
                <w:bCs/>
                <w:color w:val="auto"/>
                <w:sz w:val="24"/>
                <w:szCs w:val="24"/>
                <w:highlight w:val="none"/>
                <w:lang w:val="en-US" w:eastAsia="zh-CN"/>
              </w:rPr>
              <w:t>”部分。</w:t>
            </w:r>
          </w:p>
        </w:tc>
      </w:tr>
      <w:tr w14:paraId="248C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2428" w:type="dxa"/>
            <w:noWrap w:val="0"/>
            <w:vAlign w:val="center"/>
          </w:tcPr>
          <w:p w14:paraId="5110970F">
            <w:pPr>
              <w:snapToGrid w:val="0"/>
              <w:rPr>
                <w:rFonts w:ascii="楷体_GB2312" w:eastAsia="楷体_GB2312"/>
                <w:bCs/>
                <w:color w:val="auto"/>
                <w:sz w:val="24"/>
                <w:highlight w:val="none"/>
              </w:rPr>
            </w:pPr>
            <w:r>
              <w:rPr>
                <w:rFonts w:hint="eastAsia" w:ascii="楷体_GB2312" w:eastAsia="楷体_GB2312"/>
                <w:bCs/>
                <w:color w:val="auto"/>
                <w:sz w:val="24"/>
                <w:highlight w:val="none"/>
              </w:rPr>
              <w:t>净值及投资报告披露</w:t>
            </w:r>
          </w:p>
        </w:tc>
        <w:tc>
          <w:tcPr>
            <w:tcW w:w="6656" w:type="dxa"/>
            <w:noWrap w:val="0"/>
            <w:vAlign w:val="center"/>
          </w:tcPr>
          <w:p w14:paraId="73FC96E0">
            <w:pPr>
              <w:rPr>
                <w:rFonts w:ascii="楷体_GB2312" w:hAnsi="宋体" w:eastAsia="楷体_GB2312"/>
                <w:color w:val="000000"/>
                <w:sz w:val="24"/>
                <w:highlight w:val="none"/>
              </w:rPr>
            </w:pPr>
            <w:r>
              <w:rPr>
                <w:rFonts w:hint="eastAsia" w:ascii="楷体_GB2312" w:hAnsi="宋体" w:eastAsia="楷体_GB2312"/>
                <w:color w:val="000000"/>
                <w:sz w:val="24"/>
                <w:highlight w:val="none"/>
              </w:rPr>
              <w:t>1.本</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产品成立后，</w:t>
            </w:r>
            <w:r>
              <w:rPr>
                <w:rFonts w:hint="eastAsia" w:ascii="楷体_GB2312" w:hAnsi="宋体" w:eastAsia="楷体_GB2312"/>
                <w:color w:val="auto"/>
                <w:sz w:val="24"/>
                <w:highlight w:val="none"/>
              </w:rPr>
              <w:t>产品管理人将</w:t>
            </w:r>
            <w:r>
              <w:rPr>
                <w:rFonts w:eastAsia="楷体_GB2312"/>
                <w:color w:val="auto"/>
                <w:sz w:val="24"/>
                <w:highlight w:val="none"/>
              </w:rPr>
              <w:t>通过</w:t>
            </w:r>
            <w:r>
              <w:rPr>
                <w:rFonts w:hint="eastAsia" w:ascii="楷体_GB2312" w:hAnsi="宋体" w:eastAsia="楷体_GB2312"/>
                <w:color w:val="auto"/>
                <w:sz w:val="24"/>
                <w:highlight w:val="none"/>
                <w:lang w:val="en-US" w:eastAsia="zh-CN"/>
              </w:rPr>
              <w:t>本理财产品销售文件约定的信息披露渠道</w:t>
            </w:r>
            <w:r>
              <w:rPr>
                <w:rFonts w:hint="eastAsia" w:ascii="楷体_GB2312" w:hAnsi="宋体" w:eastAsia="楷体_GB2312"/>
                <w:color w:val="000000"/>
                <w:sz w:val="24"/>
                <w:highlight w:val="none"/>
              </w:rPr>
              <w:t>按周披露产品</w:t>
            </w:r>
            <w:r>
              <w:rPr>
                <w:rFonts w:hint="eastAsia" w:ascii="楷体_GB2312" w:hAnsi="宋体" w:eastAsia="楷体_GB2312"/>
                <w:color w:val="000000"/>
                <w:sz w:val="24"/>
                <w:highlight w:val="none"/>
                <w:lang w:val="en-US" w:eastAsia="zh-CN"/>
              </w:rPr>
              <w:t>份额</w:t>
            </w:r>
            <w:r>
              <w:rPr>
                <w:rFonts w:hint="eastAsia" w:ascii="楷体_GB2312" w:hAnsi="宋体" w:eastAsia="楷体_GB2312"/>
                <w:color w:val="000000"/>
                <w:sz w:val="24"/>
                <w:highlight w:val="none"/>
              </w:rPr>
              <w:t>净值</w:t>
            </w:r>
            <w:r>
              <w:rPr>
                <w:rFonts w:hint="eastAsia" w:ascii="楷体_GB2312" w:hAnsi="宋体" w:eastAsia="楷体_GB2312"/>
                <w:color w:val="000000"/>
                <w:sz w:val="24"/>
                <w:highlight w:val="none"/>
                <w:lang w:val="en-US" w:eastAsia="zh-CN"/>
              </w:rPr>
              <w:t>和</w:t>
            </w:r>
            <w:r>
              <w:rPr>
                <w:rFonts w:hint="eastAsia" w:ascii="楷体_GB2312" w:hAnsi="宋体" w:eastAsia="楷体_GB2312"/>
                <w:color w:val="000000"/>
                <w:sz w:val="24"/>
                <w:highlight w:val="none"/>
              </w:rPr>
              <w:t>产品资产净值</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rPr>
              <w:t xml:space="preserve"> </w:t>
            </w:r>
          </w:p>
          <w:p w14:paraId="5A255C9D">
            <w:pPr>
              <w:rPr>
                <w:rFonts w:ascii="楷体_GB2312" w:hAnsi="宋体" w:eastAsia="楷体_GB2312"/>
                <w:color w:val="000000"/>
                <w:sz w:val="24"/>
                <w:highlight w:val="none"/>
              </w:rPr>
            </w:pPr>
            <w:r>
              <w:rPr>
                <w:rFonts w:hint="eastAsia" w:ascii="楷体_GB2312" w:hAnsi="宋体" w:eastAsia="楷体_GB2312"/>
                <w:color w:val="000000"/>
                <w:sz w:val="24"/>
                <w:highlight w:val="none"/>
              </w:rPr>
              <w:t>2.每个季度结束之日起15个工作日内、上半年结束之日起60个工作日内、每年结束之日起90个工作日内</w:t>
            </w:r>
            <w:r>
              <w:rPr>
                <w:rFonts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管理人</w:t>
            </w:r>
            <w:r>
              <w:rPr>
                <w:rFonts w:hint="eastAsia" w:ascii="楷体_GB2312" w:hAnsi="宋体" w:eastAsia="楷体_GB2312"/>
                <w:color w:val="000000"/>
                <w:sz w:val="24"/>
                <w:highlight w:val="none"/>
              </w:rPr>
              <w:t>编制完成本</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产品的季度、半年和年度报告等定期报告，并通过</w:t>
            </w:r>
            <w:r>
              <w:rPr>
                <w:rFonts w:hint="eastAsia" w:ascii="楷体_GB2312" w:hAnsi="宋体" w:eastAsia="楷体_GB2312"/>
                <w:color w:val="auto"/>
                <w:sz w:val="24"/>
                <w:highlight w:val="none"/>
                <w:lang w:val="en-US" w:eastAsia="zh-CN"/>
              </w:rPr>
              <w:t>本理财产品销售文件约定的信息披露渠道</w:t>
            </w:r>
            <w:r>
              <w:rPr>
                <w:rFonts w:hint="eastAsia" w:ascii="楷体_GB2312" w:hAnsi="宋体" w:eastAsia="楷体_GB2312"/>
                <w:color w:val="000000"/>
                <w:sz w:val="24"/>
                <w:highlight w:val="none"/>
              </w:rPr>
              <w:t>向投资者披露。</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理财产品成立不足90</w:t>
            </w:r>
            <w:r>
              <w:rPr>
                <w:rFonts w:hint="eastAsia" w:ascii="楷体_GB2312" w:hAnsi="宋体" w:eastAsia="楷体_GB2312"/>
                <w:color w:val="000000"/>
                <w:sz w:val="24"/>
                <w:highlight w:val="none"/>
                <w:lang w:val="en-US" w:eastAsia="zh-CN"/>
              </w:rPr>
              <w:t>个工作</w:t>
            </w:r>
            <w:r>
              <w:rPr>
                <w:rFonts w:hint="eastAsia" w:ascii="楷体_GB2312" w:hAnsi="宋体" w:eastAsia="楷体_GB2312"/>
                <w:color w:val="000000"/>
                <w:sz w:val="24"/>
                <w:highlight w:val="none"/>
              </w:rPr>
              <w:t>日或者剩余存续期不超过90</w:t>
            </w:r>
            <w:r>
              <w:rPr>
                <w:rFonts w:hint="eastAsia" w:ascii="楷体_GB2312" w:hAnsi="宋体" w:eastAsia="楷体_GB2312"/>
                <w:color w:val="000000"/>
                <w:sz w:val="24"/>
                <w:highlight w:val="none"/>
                <w:lang w:val="en-US" w:eastAsia="zh-CN"/>
              </w:rPr>
              <w:t>个工作</w:t>
            </w:r>
            <w:r>
              <w:rPr>
                <w:rFonts w:hint="eastAsia" w:ascii="楷体_GB2312" w:hAnsi="宋体" w:eastAsia="楷体_GB2312"/>
                <w:color w:val="000000"/>
                <w:sz w:val="24"/>
                <w:highlight w:val="none"/>
              </w:rPr>
              <w:t>日的，</w:t>
            </w:r>
            <w:r>
              <w:rPr>
                <w:rFonts w:hint="eastAsia" w:ascii="楷体_GB2312" w:hAnsi="宋体" w:eastAsia="楷体_GB2312"/>
                <w:color w:val="000000"/>
                <w:sz w:val="24"/>
                <w:highlight w:val="none"/>
                <w:lang w:val="en-US" w:eastAsia="zh-CN"/>
              </w:rPr>
              <w:t>产品管理人</w:t>
            </w:r>
            <w:r>
              <w:rPr>
                <w:rFonts w:hint="eastAsia" w:ascii="楷体_GB2312" w:hAnsi="宋体" w:eastAsia="楷体_GB2312"/>
                <w:color w:val="000000"/>
                <w:sz w:val="24"/>
                <w:highlight w:val="none"/>
              </w:rPr>
              <w:t>可以不编制</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理财产品当期的季度、半年和年度报告。</w:t>
            </w:r>
          </w:p>
          <w:p w14:paraId="795B74A3">
            <w:pPr>
              <w:rPr>
                <w:rFonts w:hint="eastAsia"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3.产品</w:t>
            </w:r>
            <w:r>
              <w:rPr>
                <w:rFonts w:hint="eastAsia" w:ascii="楷体_GB2312" w:hAnsi="宋体" w:eastAsia="楷体_GB2312"/>
                <w:color w:val="000000"/>
                <w:sz w:val="24"/>
                <w:highlight w:val="none"/>
              </w:rPr>
              <w:t>管理人保留对本</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产品信息披露频率变更的权利。</w:t>
            </w:r>
          </w:p>
          <w:p w14:paraId="3635F57D">
            <w:pPr>
              <w:rPr>
                <w:rFonts w:ascii="楷体_GB2312" w:hAnsi="宋体" w:eastAsia="楷体_GB2312"/>
                <w:color w:val="auto"/>
                <w:sz w:val="24"/>
                <w:highlight w:val="none"/>
              </w:rPr>
            </w:pPr>
            <w:r>
              <w:rPr>
                <w:rFonts w:hint="eastAsia" w:ascii="楷体_GB2312" w:hAnsi="宋体" w:eastAsia="楷体_GB2312"/>
                <w:b/>
                <w:bCs/>
                <w:color w:val="auto"/>
                <w:sz w:val="24"/>
                <w:highlight w:val="none"/>
              </w:rPr>
              <w:t>★净值及投资报告披露</w:t>
            </w:r>
            <w:r>
              <w:rPr>
                <w:rFonts w:hint="eastAsia" w:ascii="楷体_GB2312" w:hAnsi="宋体" w:eastAsia="楷体_GB2312"/>
                <w:b/>
                <w:bCs/>
                <w:color w:val="auto"/>
                <w:sz w:val="24"/>
                <w:highlight w:val="none"/>
                <w:lang w:val="en-US" w:eastAsia="zh-CN"/>
              </w:rPr>
              <w:t>详情请见</w:t>
            </w:r>
            <w:r>
              <w:rPr>
                <w:rFonts w:hint="eastAsia" w:ascii="楷体_GB2312" w:hAnsi="宋体" w:eastAsia="楷体_GB2312"/>
                <w:b/>
                <w:bCs/>
                <w:color w:val="auto"/>
                <w:sz w:val="24"/>
                <w:szCs w:val="24"/>
                <w:highlight w:val="none"/>
                <w:lang w:val="en-US" w:eastAsia="zh-CN"/>
              </w:rPr>
              <w:t>本《</w:t>
            </w:r>
            <w:r>
              <w:rPr>
                <w:rFonts w:hint="eastAsia" w:ascii="楷体_GB2312" w:eastAsia="楷体_GB2312"/>
                <w:b/>
                <w:bCs/>
                <w:color w:val="auto"/>
                <w:sz w:val="24"/>
                <w:highlight w:val="none"/>
                <w:lang w:val="en-US" w:eastAsia="zh-CN"/>
              </w:rPr>
              <w:t>理财产品说明书</w:t>
            </w:r>
            <w:r>
              <w:rPr>
                <w:rFonts w:hint="eastAsia" w:ascii="楷体_GB2312" w:hAnsi="宋体" w:eastAsia="楷体_GB2312"/>
                <w:b/>
                <w:bCs/>
                <w:color w:val="auto"/>
                <w:sz w:val="24"/>
                <w:szCs w:val="24"/>
                <w:highlight w:val="none"/>
                <w:lang w:val="en-US" w:eastAsia="zh-CN"/>
              </w:rPr>
              <w:t>》“</w:t>
            </w:r>
            <w:r>
              <w:rPr>
                <w:rFonts w:hint="eastAsia" w:ascii="楷体_GB2312" w:hAnsi="宋体" w:eastAsia="楷体_GB2312"/>
                <w:b/>
                <w:bCs/>
                <w:color w:val="auto"/>
                <w:sz w:val="24"/>
                <w:highlight w:val="none"/>
              </w:rPr>
              <w:t>十、产品的信息披露</w:t>
            </w:r>
            <w:r>
              <w:rPr>
                <w:rFonts w:hint="eastAsia" w:ascii="楷体_GB2312" w:hAnsi="宋体" w:eastAsia="楷体_GB2312"/>
                <w:b/>
                <w:bCs/>
                <w:color w:val="auto"/>
                <w:sz w:val="24"/>
                <w:szCs w:val="24"/>
                <w:highlight w:val="none"/>
                <w:lang w:val="en-US" w:eastAsia="zh-CN"/>
              </w:rPr>
              <w:t>”部分。</w:t>
            </w:r>
          </w:p>
        </w:tc>
      </w:tr>
      <w:tr w14:paraId="274B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trPr>
        <w:tc>
          <w:tcPr>
            <w:tcW w:w="2428" w:type="dxa"/>
            <w:noWrap w:val="0"/>
            <w:vAlign w:val="center"/>
          </w:tcPr>
          <w:p w14:paraId="0282370F">
            <w:pPr>
              <w:snapToGrid w:val="0"/>
              <w:rPr>
                <w:rFonts w:ascii="楷体_GB2312" w:eastAsia="楷体_GB2312"/>
                <w:bCs/>
                <w:color w:val="auto"/>
                <w:sz w:val="24"/>
                <w:highlight w:val="none"/>
              </w:rPr>
            </w:pPr>
            <w:r>
              <w:rPr>
                <w:rFonts w:hint="eastAsia" w:ascii="楷体_GB2312" w:eastAsia="楷体_GB2312"/>
                <w:bCs/>
                <w:color w:val="auto"/>
                <w:sz w:val="24"/>
                <w:highlight w:val="none"/>
              </w:rPr>
              <w:t>税款</w:t>
            </w:r>
          </w:p>
        </w:tc>
        <w:tc>
          <w:tcPr>
            <w:tcW w:w="6656" w:type="dxa"/>
            <w:noWrap w:val="0"/>
            <w:vAlign w:val="center"/>
          </w:tcPr>
          <w:p w14:paraId="4CFCEB06">
            <w:pPr>
              <w:rPr>
                <w:rFonts w:ascii="楷体_GB2312" w:hAnsi="宋体" w:eastAsia="楷体_GB2312"/>
                <w:color w:val="auto"/>
                <w:sz w:val="24"/>
                <w:highlight w:val="none"/>
              </w:rPr>
            </w:pPr>
            <w:r>
              <w:rPr>
                <w:rFonts w:hint="eastAsia" w:ascii="楷体_GB2312" w:hAnsi="宋体" w:eastAsia="楷体_GB2312"/>
                <w:color w:val="auto"/>
                <w:sz w:val="24"/>
                <w:highlight w:val="none"/>
              </w:rPr>
              <w:t>相关税收法律法规规定，</w:t>
            </w:r>
            <w:r>
              <w:rPr>
                <w:rFonts w:hint="eastAsia" w:ascii="楷体_GB2312" w:hAnsi="宋体" w:eastAsia="楷体_GB2312"/>
                <w:color w:val="auto"/>
                <w:sz w:val="24"/>
                <w:highlight w:val="none"/>
                <w:lang w:eastAsia="zh-CN"/>
              </w:rPr>
              <w:t>本理财产品</w:t>
            </w:r>
            <w:r>
              <w:rPr>
                <w:rFonts w:hint="eastAsia" w:ascii="楷体_GB2312" w:hAnsi="宋体" w:eastAsia="楷体_GB2312"/>
                <w:color w:val="auto"/>
                <w:sz w:val="24"/>
                <w:highlight w:val="none"/>
              </w:rPr>
              <w:t>运营过程中产生的税费，由</w:t>
            </w:r>
            <w:r>
              <w:rPr>
                <w:rFonts w:hint="eastAsia" w:ascii="楷体_GB2312" w:hAnsi="宋体" w:eastAsia="楷体_GB2312"/>
                <w:color w:val="auto"/>
                <w:sz w:val="24"/>
                <w:highlight w:val="none"/>
                <w:lang w:eastAsia="zh-CN"/>
              </w:rPr>
              <w:t>本</w:t>
            </w:r>
            <w:r>
              <w:rPr>
                <w:rFonts w:hint="eastAsia" w:ascii="楷体_GB2312" w:hAnsi="宋体" w:eastAsia="楷体_GB2312"/>
                <w:color w:val="auto"/>
                <w:sz w:val="24"/>
                <w:highlight w:val="none"/>
              </w:rPr>
              <w:t>理财产品承担。投资者从</w:t>
            </w:r>
            <w:r>
              <w:rPr>
                <w:rFonts w:hint="eastAsia" w:ascii="楷体_GB2312" w:hAnsi="宋体" w:eastAsia="楷体_GB2312"/>
                <w:color w:val="auto"/>
                <w:sz w:val="24"/>
                <w:highlight w:val="none"/>
                <w:lang w:eastAsia="zh-CN"/>
              </w:rPr>
              <w:t>本</w:t>
            </w:r>
            <w:r>
              <w:rPr>
                <w:rFonts w:hint="eastAsia" w:ascii="楷体_GB2312" w:hAnsi="宋体" w:eastAsia="楷体_GB2312"/>
                <w:color w:val="auto"/>
                <w:sz w:val="24"/>
                <w:highlight w:val="none"/>
              </w:rPr>
              <w:t>理财产品取得的收益应纳税款由投资者自行申报及缴纳，</w:t>
            </w:r>
            <w:r>
              <w:rPr>
                <w:rFonts w:hint="eastAsia" w:ascii="楷体_GB2312" w:hAnsi="宋体" w:eastAsia="楷体_GB2312"/>
                <w:color w:val="auto"/>
                <w:sz w:val="24"/>
                <w:highlight w:val="none"/>
                <w:lang w:eastAsia="zh-CN"/>
              </w:rPr>
              <w:t>产品管理人</w:t>
            </w:r>
            <w:r>
              <w:rPr>
                <w:rFonts w:hint="eastAsia" w:ascii="楷体_GB2312" w:hAnsi="宋体" w:eastAsia="楷体_GB2312"/>
                <w:color w:val="auto"/>
                <w:sz w:val="24"/>
                <w:highlight w:val="none"/>
              </w:rPr>
              <w:t>不承担相关代扣代缴或纳税义务。</w:t>
            </w:r>
          </w:p>
        </w:tc>
      </w:tr>
    </w:tbl>
    <w:p w14:paraId="7840D3A7">
      <w:pPr>
        <w:ind w:firstLine="482" w:firstLineChars="200"/>
        <w:rPr>
          <w:rFonts w:ascii="楷体_GB2312" w:hAnsi="宋体" w:eastAsia="楷体_GB2312"/>
          <w:b/>
          <w:color w:val="000000"/>
          <w:sz w:val="24"/>
          <w:highlight w:val="none"/>
        </w:rPr>
      </w:pPr>
      <w:r>
        <w:rPr>
          <w:rFonts w:hint="eastAsia" w:ascii="楷体_GB2312" w:hAnsi="宋体" w:eastAsia="楷体_GB2312"/>
          <w:b/>
          <w:color w:val="000000"/>
          <w:sz w:val="24"/>
          <w:highlight w:val="none"/>
        </w:rPr>
        <w:t>四、产品的投资运作</w:t>
      </w:r>
    </w:p>
    <w:p w14:paraId="5107B674">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（一）投资范围</w:t>
      </w:r>
    </w:p>
    <w:p w14:paraId="475D2C82">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本理财产品可投资于境内外市场发行的固定收益类资产，包括但不限于：银行存款、同业存款、大额存单、资金拆借、债券回购等存款类资产及货币市场工具类资产；国债、政策性金融债、金融债、地方政府债、政府支持机构债券、短期融资券、超短期融资券、中期票据（包括永续中票）、企业债、公司债（包含可续期公司债）、同业存单、非公开定向债务融资工具、资产支持证券、次级债（包括二级资本债）、可转换公司债券和可交换公司债券等银行间市场、证券交易所市场及经国务院同意设立的其他交易市场的债券及债务融资工具；同业借款、信托贷款、应收账款收益权转让及受让等非标准化债权类资产。</w:t>
      </w:r>
    </w:p>
    <w:p w14:paraId="3176EFC6">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本理财产品可投资于以上述资产为投资对象的公募证券投资基金及其他资产管理产品。</w:t>
      </w:r>
    </w:p>
    <w:p w14:paraId="573EB2CC">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（二）投资比例</w:t>
      </w:r>
    </w:p>
    <w:p w14:paraId="44493DD6">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本理财产品直接或间接投资于同业存单、银行存款、债券等固定收益类资产的比例为100%。其中，投资于符合监管要求的非标准化债权类资产的比例不高于50%。</w:t>
      </w:r>
    </w:p>
    <w:p w14:paraId="6E005FED">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★特别提示：</w:t>
      </w:r>
    </w:p>
    <w:p w14:paraId="2DFDEE66">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1.非因产品管理人原因导致本理财产品销售文件项下理财产品投资突破前述投资比例限制的，产品管理人将在所投资的流动性受限资产可出售、可转让或者恢复交易之日起15个交易日内调整至上述投资比例内；</w:t>
      </w:r>
    </w:p>
    <w:p w14:paraId="318F1A2E">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2.在本理财产品存续期内，金融市场发生重大变化导致前述投资比例暂时超出浮动区间且可能对本理财产品收益产生重大影响的，产品管理人将根据本理财产品销售文件约定向投资者进行信息披露。</w:t>
      </w:r>
    </w:p>
    <w:p w14:paraId="3BD1A850">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（三）投资策略</w:t>
      </w:r>
    </w:p>
    <w:p w14:paraId="14D5C302">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本理财产品在综合分析国家宏观经济形势、财政以及货币政策的基础上，采用“中高等级信用债或非标资产配置”的投资策略，产品运作期间，视资金成本情况，适度采用杠杆策略，以获取超额收益。</w:t>
      </w:r>
    </w:p>
    <w:p w14:paraId="73E0E9C5">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1.资产配置策略</w:t>
      </w:r>
    </w:p>
    <w:p w14:paraId="61CC72BB">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从宏观环境、政策因素、资金供求因素、证券市场基本面等角度进行综合分析，判断各类资产的市场趋势和预期风险收益，在严格控制风险的前提下，确定投资组合在债券、基金、现金等资产类别的投资比例，并根据宏观经济形势和市场时机的变化适时进行动态调整。</w:t>
      </w:r>
    </w:p>
    <w:p w14:paraId="51DF9B51">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2.信用投资策略</w:t>
      </w:r>
    </w:p>
    <w:p w14:paraId="4663212A">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根据产品管理人的内部信用评级标准，辅以外部信用评级，研究债权资产发行主体的信用状况，平衡风险与收益选择信用风险适当的主体和券种作为投资对象。</w:t>
      </w:r>
    </w:p>
    <w:p w14:paraId="448B2A91">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3.杠杆配置策略</w:t>
      </w:r>
    </w:p>
    <w:p w14:paraId="2898C165">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产品管理人根据对未来资金成本预测，择机通过融入短期资金，适度运用杠杆策略增厚组合收益，从而获得杠杆放大收益；产品管理人将根据市场利率水平以及对利率期限结构的预期等，对杠杆比例适时进行调整，尽可能平滑投资组合的净值波动。</w:t>
      </w:r>
    </w:p>
    <w:p w14:paraId="381D5757">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（四）投资限制</w:t>
      </w:r>
    </w:p>
    <w:p w14:paraId="5E5F83A1">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本理财产品投资于单只证券或者单只公募证券投资基金的市值占本理财产品净资产不高于10%。投资于国债、地方政府债券、中央银行票据、政府机构债券、政策性金融债券以及完全按照有关指数的构成比例进行投资的除外。</w:t>
      </w:r>
    </w:p>
    <w:p w14:paraId="01BF194A">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产品管理人发行的全部公募理财产品持有单只证券或单只公募证券投资基金的市值，不得超过该证券市值或该公募证券投资基金市值的30%。其中，产品管理人发行的全部开放式公募理财产品投资单一上市公司发行的股票不得超过该上市公司可流通股票的15%。投资于国债、地方政府债券、中央银行票据、政府机构债券、政策性金融债券以及完全按照有关指数的构成比例进行投资的除外。</w:t>
      </w:r>
    </w:p>
    <w:p w14:paraId="75009C22">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3.产品管理人发行的全部理财产品投资单一上市公司发行的股票不得超过该上市公司可流通股票的30%。投资于国债、地方政府债券、中央银行票据、政府机构债券、政策性金融债券以及完全按照有关指数的构成比例进行投资的除外。</w:t>
      </w:r>
    </w:p>
    <w:p w14:paraId="23FF0D19">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4.本理财产品的杠杆水平不得超过200%。</w:t>
      </w:r>
    </w:p>
    <w:p w14:paraId="179AD639">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5.本理财产品直接或间接投资于非标准化债权类资产的，非标准化债权类资产的终止日不得晚于本理财产品的到期日。</w:t>
      </w:r>
    </w:p>
    <w:p w14:paraId="153F8860">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6.本理财产品投资的非标准化债权类资产余额不得达到或超过本理财产品净资产的50%。</w:t>
      </w:r>
    </w:p>
    <w:p w14:paraId="2427D7FF">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7.法律法规及国家金融监督管理总局规定的其他投资限制。</w:t>
      </w:r>
    </w:p>
    <w:p w14:paraId="643F26D7">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★特别提示：</w:t>
      </w:r>
    </w:p>
    <w:p w14:paraId="659810D6">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1.非因产品管理人主观因素导致本理财产品突破前述第1、2、3点比例限制的，本理财产品的产品管理人将在所投资的流动性受限资产可出售、可转让或者恢复交易之日起10个交易日内调整至符合上述投资限制。</w:t>
      </w:r>
    </w:p>
    <w:p w14:paraId="7E62DBDD">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2.本理财产品的上述投资限制将有可能随国家法律法规及监管政策的变化而产生变化，如发生变化，产品管理人将及时进行信息披露。</w:t>
      </w:r>
    </w:p>
    <w:p w14:paraId="7B4297AD">
      <w:pPr>
        <w:ind w:firstLine="480" w:firstLineChars="20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rPr>
        <w:t>（五）投资目标</w:t>
      </w:r>
    </w:p>
    <w:p w14:paraId="22ACDE73">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以投资价值分析为基础，宏观与微观、定性与定量相结合，进行主动式管理，在追求理财投资资产稳定增值的基础上，为投资者获得较高的收益。</w:t>
      </w:r>
    </w:p>
    <w:p w14:paraId="4CCB9E93">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olor w:val="000000"/>
          <w:sz w:val="24"/>
          <w:highlight w:val="none"/>
          <w:lang w:eastAsia="zh-CN"/>
        </w:rPr>
      </w:pPr>
      <w:r>
        <w:rPr>
          <w:rFonts w:hint="eastAsia" w:ascii="楷体_GB2312" w:eastAsia="楷体_GB2312"/>
          <w:color w:val="000000"/>
          <w:kern w:val="0"/>
          <w:sz w:val="24"/>
          <w:highlight w:val="none"/>
          <w:lang w:bidi="bn-IN"/>
        </w:rPr>
        <w:t>★</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六</w:t>
      </w:r>
      <w:r>
        <w:rPr>
          <w:rFonts w:hint="eastAsia" w:ascii="楷体_GB2312" w:hAnsi="宋体" w:eastAsia="楷体_GB2312"/>
          <w:color w:val="000000"/>
          <w:sz w:val="24"/>
          <w:highlight w:val="none"/>
          <w:lang w:eastAsia="zh-CN"/>
        </w:rPr>
        <w:t>）风险分析及风险控制措施</w:t>
      </w:r>
    </w:p>
    <w:p w14:paraId="40618510">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本理财产品投资于固定收益类资产，面临的主要风险为市场风险、流动性风险、信用风险和其他风险。</w:t>
      </w:r>
    </w:p>
    <w:p w14:paraId="40E72765">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1.市场风险分析及市场风险控制措施</w:t>
      </w:r>
    </w:p>
    <w:p w14:paraId="5118B44C">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分析：本理财产品投资收益来源于本理财产品对应投资组合的运作和回报，因国家政策、经济周期、利率、汇率等因素可能发生变化，导致投资品种的市场价格发生波动，由此可能影响本理财产品的收益水平，则投资者可能面临本金和收益遭受部分甚至全部损失的风险。</w:t>
      </w:r>
    </w:p>
    <w:p w14:paraId="1ADA66BF">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风险控制措施：</w:t>
      </w:r>
    </w:p>
    <w:p w14:paraId="7F630C0B">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（1）本理财产品投资结构根据投资决策委员会的相关决策执行，定期召开资产配置会议，调整投资策略，调整债券组合久期，控制市场风险。</w:t>
      </w:r>
    </w:p>
    <w:p w14:paraId="696A4A36">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（2）运用定量风险模型，分析各投资组合市场风险的来源和暴露。利用敏感性分析，找出影响投资组合收益的关键因素。运用情景分析和压力测试技术，定期评估投资组合对于大幅和极端市场波动的承受能力。</w:t>
      </w:r>
    </w:p>
    <w:p w14:paraId="60FD7F92">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2.流动性风险分析及流动性风险控制措施</w:t>
      </w:r>
    </w:p>
    <w:p w14:paraId="5F4DC822">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风险分析：流动性风险是指理财产品无法通过变现资产等途径以合理成本及时获得充足资金，用于满足该理财产品的投资者赎回需求、履行其他支付义务的风险。</w:t>
      </w:r>
    </w:p>
    <w:p w14:paraId="62E2208E">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风险控制措施：</w:t>
      </w:r>
    </w:p>
    <w:p w14:paraId="452DB473">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（1）严格执行资管新规和流动性新规的要求，本理财产品的产品管理人将定期评估投资组合的流动性风险水平，使得流动性资产配置比例保持在适当水平下，综合匹配投资收益和产品期限设置。</w:t>
      </w:r>
    </w:p>
    <w:p w14:paraId="4788AC5A">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为防范和应对本理财产品发生流动性风险事件，产品管理人可启用下列措施：①设定单一投资者持有金额上限：本理财产品的产品管理人可根据实际业务情况设定单一投资者持有金额上限；②延迟兑付：发生本《理财产品说明书》“七、产品的终止与清算”中“（二）产品的延迟兑付”条款约定的情形时，本理财产品的产品管理人有权延迟兑付本理财产品；③除前述流动性风险应对措施外，本理财产品的产品管理人还可根据实际业务情况，采取暂停理财产品估值等国家金融监督管理总局规定的其他措施。</w:t>
      </w:r>
    </w:p>
    <w:p w14:paraId="201BF0EB">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3.信用风险分析及信用风险控制措施</w:t>
      </w:r>
    </w:p>
    <w:p w14:paraId="06D351C8">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分析：本理财产品所投资的债券、债权资产等金融产品涉及融资人的信用风险，若融资人发生信用风险事件，将导致相应金融产品的市场价值下跌或收益、到期本金等无法足额按时偿还，则投资者可能面临本金和收益遭受部分甚至全部损失的风险。</w:t>
      </w:r>
    </w:p>
    <w:p w14:paraId="3E9C0410">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风险控制措施：</w:t>
      </w:r>
    </w:p>
    <w:p w14:paraId="112EF37B">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（1）产品管理人建立投前、投中、投后信用风险管理体系，严格遵照“三道防线”相关要求开展信用债投后管理各项工作，通过下列措施严控信用风险：</w:t>
      </w:r>
    </w:p>
    <w:p w14:paraId="7912B34E">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①定期宏观基本面的跟踪分析：监控基本面关键指标、各行业基本面指标以及债券细分敞口溢价走势，研判个券信用风险，在此基础上形成产品债券投资备选库。</w:t>
      </w:r>
    </w:p>
    <w:p w14:paraId="73F6D5AE">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②内部风险监测机制：通过风险预警以及资产配置系统进行舆情监控，定期对持仓资产进行整体回顾、检视，分析组合资产配置情况，对持仓个券开展持续债券信用风险追踪，排查负面舆情、价格异动等风险事件，降低信用风险暴露。</w:t>
      </w:r>
    </w:p>
    <w:p w14:paraId="2F80F079">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（2）发生信用风险的债券通过折价卖出或破产清算回收部分本金。</w:t>
      </w:r>
    </w:p>
    <w:p w14:paraId="0E8FDA10">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4.其他风险分析及风险控制措施</w:t>
      </w:r>
    </w:p>
    <w:p w14:paraId="29729F51">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风险分析：本理财产品的其他风险主要包括操作风险、管理风险以及可能面临的一些特殊风险。</w:t>
      </w:r>
    </w:p>
    <w:p w14:paraId="7BF57109">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楷体_GB2312" w:hAnsi="宋体" w:eastAsia="楷体_GB2312" w:cs="Times New Roman"/>
          <w:b w:val="0"/>
          <w:bCs/>
          <w:color w:val="000000"/>
          <w:kern w:val="2"/>
          <w:sz w:val="24"/>
          <w:szCs w:val="24"/>
          <w:highlight w:val="none"/>
          <w:lang w:val="en-US" w:eastAsia="zh-CN" w:bidi="ar-SA"/>
        </w:rPr>
      </w:pPr>
      <w:r>
        <w:rPr>
          <w:rFonts w:hint="eastAsia" w:ascii="楷体_GB2312" w:hAnsi="宋体" w:eastAsia="楷体_GB2312" w:cs="Times New Roman"/>
          <w:b w:val="0"/>
          <w:bCs/>
          <w:color w:val="000000"/>
          <w:kern w:val="2"/>
          <w:sz w:val="24"/>
          <w:szCs w:val="24"/>
          <w:highlight w:val="none"/>
          <w:lang w:val="en-US" w:eastAsia="zh-CN" w:bidi="ar-SA"/>
        </w:rPr>
        <w:t>风险控制措施：对本理财产品面临的其他风险，由北银理财相关部门进行识别、测量、分析、监控、报告和管理工作，设定投资风险管理要求、风险策略、风险管理指标、风险限额等，并追踪执行情况。</w:t>
      </w:r>
    </w:p>
    <w:p w14:paraId="407CE334">
      <w:pPr>
        <w:tabs>
          <w:tab w:val="left" w:pos="507"/>
        </w:tabs>
        <w:ind w:firstLine="482" w:firstLineChars="200"/>
        <w:rPr>
          <w:rFonts w:hint="eastAsia" w:ascii="楷体_GB2312" w:hAnsi="宋体" w:eastAsia="楷体_GB2312"/>
          <w:b/>
          <w:color w:val="000000"/>
          <w:sz w:val="24"/>
          <w:highlight w:val="none"/>
          <w:lang w:eastAsia="zh-CN"/>
        </w:rPr>
      </w:pPr>
      <w:r>
        <w:rPr>
          <w:rFonts w:hint="eastAsia" w:ascii="楷体_GB2312" w:hAnsi="宋体" w:eastAsia="楷体_GB2312"/>
          <w:b/>
          <w:color w:val="000000"/>
          <w:sz w:val="24"/>
          <w:highlight w:val="none"/>
          <w:lang w:eastAsia="zh-CN"/>
        </w:rPr>
        <w:t>五、产品的募集和认购、申购和赎回</w:t>
      </w:r>
    </w:p>
    <w:p w14:paraId="599F818A">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（一）产品的募集和认购</w:t>
      </w:r>
    </w:p>
    <w:p w14:paraId="7D018306">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1.投资者在指定向北银理财申请购买本理财产品销售文件项下的理财产品时应已经在代销机构开立活期存款账户。</w:t>
      </w:r>
    </w:p>
    <w:p w14:paraId="4DA8BAAE">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2.投资者应指定其开立在代销机构的相关账户作为清算账户。该账户用于产品管理人和投资者之间根据本理财产品销售文件办理的投资金额与清算分配金额等款项收付。投资者同意，代销机构制作的该账户收款、付款记录是证明该账户项下款项收付的有效凭证。</w:t>
      </w:r>
    </w:p>
    <w:p w14:paraId="6DE9C0BF">
      <w:pPr>
        <w:ind w:firstLine="480" w:firstLineChars="200"/>
        <w:rPr>
          <w:rFonts w:hint="eastAsia" w:ascii="楷体_GB2312" w:hAnsi="宋体" w:eastAsia="楷体_GB2312"/>
          <w:color w:val="000000"/>
          <w:sz w:val="24"/>
        </w:rPr>
      </w:pPr>
      <w:r>
        <w:rPr>
          <w:rFonts w:hint="eastAsia" w:ascii="楷体_GB2312" w:hAnsi="宋体" w:eastAsia="楷体_GB2312"/>
          <w:b w:val="0"/>
          <w:bCs/>
          <w:color w:val="000000"/>
          <w:sz w:val="24"/>
          <w:highlight w:val="none"/>
          <w:lang w:eastAsia="zh-CN"/>
        </w:rPr>
        <w:t>3.本理财产品认购金额要求：投资者购买本理财产品</w:t>
      </w:r>
      <w:r>
        <w:rPr>
          <w:rFonts w:hint="eastAsia" w:ascii="楷体_GB2312" w:eastAsia="楷体_GB2312"/>
          <w:bCs/>
          <w:color w:val="auto"/>
          <w:sz w:val="24"/>
          <w:highlight w:val="none"/>
          <w:lang w:val="en-US" w:eastAsia="zh-CN"/>
        </w:rPr>
        <w:t>A类份额</w:t>
      </w:r>
      <w:r>
        <w:rPr>
          <w:rFonts w:hint="eastAsia" w:ascii="楷体_GB2312" w:hAnsi="宋体" w:eastAsia="楷体_GB2312"/>
          <w:color w:val="000000"/>
          <w:sz w:val="24"/>
        </w:rPr>
        <w:t>的投资起点为人民币1元，并以0.01元为单位递增。</w:t>
      </w:r>
    </w:p>
    <w:p w14:paraId="48139886">
      <w:pPr>
        <w:ind w:firstLine="480" w:firstLineChars="200"/>
        <w:rPr>
          <w:rFonts w:hint="eastAsia" w:ascii="楷体_GB2312" w:hAnsi="宋体" w:eastAsia="楷体_GB2312"/>
          <w:color w:val="000000"/>
          <w:sz w:val="24"/>
        </w:rPr>
      </w:pPr>
      <w:r>
        <w:rPr>
          <w:rFonts w:hint="eastAsia" w:ascii="楷体_GB2312" w:hAnsi="宋体" w:eastAsia="楷体_GB2312"/>
          <w:color w:val="000000"/>
          <w:sz w:val="24"/>
        </w:rPr>
        <w:t>★如销售机构另有要求的，实际投资起点金额及递增金额应当以销售机构展示/提示为准，但不得低于本理财产品销售文件约定的投资起点金额及递增金额。</w:t>
      </w:r>
    </w:p>
    <w:p w14:paraId="0495013A">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4.认购份额的计算：认购份额=认购金额/产品单位面值，本理财产品成立日的产品单位面值为</w:t>
      </w:r>
      <w:r>
        <w:rPr>
          <w:rFonts w:hint="eastAsia" w:ascii="楷体_GB2312" w:hAnsi="宋体" w:eastAsia="楷体_GB2312"/>
          <w:b w:val="0"/>
          <w:bCs/>
          <w:color w:val="000000"/>
          <w:sz w:val="24"/>
          <w:highlight w:val="none"/>
          <w:lang w:val="en-US" w:eastAsia="zh-CN"/>
        </w:rPr>
        <w:t>1.00</w:t>
      </w:r>
      <w:r>
        <w:rPr>
          <w:rFonts w:hint="eastAsia" w:ascii="楷体_GB2312" w:hAnsi="宋体" w:eastAsia="楷体_GB2312"/>
          <w:b w:val="0"/>
          <w:bCs/>
          <w:color w:val="000000"/>
          <w:sz w:val="24"/>
          <w:highlight w:val="none"/>
          <w:lang w:eastAsia="zh-CN"/>
        </w:rPr>
        <w:t>元，认购份额以四舍五入的方法保留到小数点后两位。实际认购份额以产品管理人确认的份额为准。</w:t>
      </w:r>
    </w:p>
    <w:p w14:paraId="6BC5FA4E">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5.认购费用：本理财产品暂不收取认购费用。</w:t>
      </w:r>
    </w:p>
    <w:p w14:paraId="01B5AF76">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6.受理时间和确认时间：投资者可在本理财产品募集期</w:t>
      </w:r>
      <w:r>
        <w:rPr>
          <w:rFonts w:hint="eastAsia" w:ascii="楷体_GB2312" w:hAnsi="宋体" w:eastAsia="楷体_GB2312"/>
          <w:b w:val="0"/>
          <w:bCs/>
          <w:color w:val="000000"/>
          <w:sz w:val="24"/>
          <w:highlight w:val="none"/>
          <w:lang w:val="en-US" w:eastAsia="zh-CN"/>
        </w:rPr>
        <w:t>规定时间</w:t>
      </w:r>
      <w:r>
        <w:rPr>
          <w:rFonts w:hint="eastAsia" w:ascii="楷体_GB2312" w:hAnsi="宋体" w:eastAsia="楷体_GB2312"/>
          <w:b w:val="0"/>
          <w:bCs/>
          <w:color w:val="000000"/>
          <w:sz w:val="24"/>
          <w:highlight w:val="none"/>
          <w:lang w:eastAsia="zh-CN"/>
        </w:rPr>
        <w:t>内购买本理财产品，投资者认购资金将被实时冻结，并于本理财产品成立日由代销机构划款，产品管理人在本理财产品成立日确认产品份额。</w:t>
      </w:r>
    </w:p>
    <w:p w14:paraId="1EECFBE5">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★7.募集期的利息计算：募集期内，认购资金在投资者交存至投资者清算账户后，扣划之前按代销机构公布的人民币活期存款利率计算利息，该利息不作为认购资金扣收。</w:t>
      </w:r>
    </w:p>
    <w:p w14:paraId="69E744C4">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8.受理渠道：投资者可通过代销机构各营业网点、代销机构手机银行等电子渠道办理理财账户的开户手续，可通过代销机构各营业网点、代销机构手机银行等电子渠道办理本理财产品的购买手续（具体以代销机构要求为准）。</w:t>
      </w:r>
    </w:p>
    <w:p w14:paraId="551CB654">
      <w:pPr>
        <w:tabs>
          <w:tab w:val="left" w:pos="507"/>
        </w:tabs>
        <w:ind w:firstLine="480" w:firstLineChars="200"/>
        <w:rPr>
          <w:rFonts w:hint="eastAsia" w:ascii="楷体_GB2312" w:hAnsi="宋体" w:eastAsia="楷体_GB2312"/>
          <w:b/>
          <w:bCs w:val="0"/>
          <w:color w:val="000000"/>
          <w:sz w:val="24"/>
          <w:highlight w:val="none"/>
          <w:u w:val="single"/>
          <w:lang w:eastAsia="zh-CN"/>
        </w:rPr>
      </w:pPr>
      <w:r>
        <w:rPr>
          <w:rFonts w:hint="eastAsia" w:ascii="楷体_GB2312" w:hAnsi="宋体" w:eastAsia="楷体_GB2312"/>
          <w:b w:val="0"/>
          <w:bCs/>
          <w:color w:val="000000"/>
          <w:sz w:val="24"/>
          <w:highlight w:val="none"/>
          <w:lang w:eastAsia="zh-CN"/>
        </w:rPr>
        <w:t>★9.购买撤销：投资者可在本理财产品募集期最后一日的</w:t>
      </w:r>
      <w:r>
        <w:rPr>
          <w:rFonts w:hint="eastAsia" w:ascii="楷体_GB2312" w:hAnsi="宋体" w:eastAsia="楷体_GB2312"/>
          <w:color w:val="auto"/>
          <w:sz w:val="24"/>
        </w:rPr>
        <w:t>17：00</w:t>
      </w:r>
      <w:r>
        <w:rPr>
          <w:rFonts w:hint="eastAsia" w:ascii="楷体_GB2312" w:hAnsi="宋体" w:eastAsia="楷体_GB2312"/>
          <w:b w:val="0"/>
          <w:bCs/>
          <w:color w:val="000000"/>
          <w:sz w:val="24"/>
          <w:highlight w:val="none"/>
          <w:lang w:eastAsia="zh-CN"/>
        </w:rPr>
        <w:t>前撤销认购交易，撤销后的资金原则上将于2个工作日内到账，具体到账时间以代销机构提示为准。</w:t>
      </w:r>
      <w:r>
        <w:rPr>
          <w:rFonts w:hint="eastAsia" w:ascii="楷体_GB2312" w:hAnsi="宋体" w:eastAsia="楷体_GB2312"/>
          <w:b/>
          <w:bCs w:val="0"/>
          <w:color w:val="000000"/>
          <w:sz w:val="24"/>
          <w:highlight w:val="none"/>
          <w:u w:val="single"/>
          <w:lang w:eastAsia="zh-CN"/>
        </w:rPr>
        <w:t>本理财产品募集期结束后，投资者不能撤销购买本理财产品。</w:t>
      </w:r>
    </w:p>
    <w:p w14:paraId="3A3C8AB6">
      <w:pPr>
        <w:ind w:firstLine="480" w:firstLineChars="200"/>
        <w:rPr>
          <w:rFonts w:hint="eastAsia" w:ascii="楷体_GB2312" w:hAnsi="宋体" w:eastAsia="楷体_GB2312"/>
          <w:color w:val="000000"/>
          <w:sz w:val="24"/>
          <w:highlight w:val="none"/>
        </w:rPr>
      </w:pPr>
      <w:r>
        <w:rPr>
          <w:rFonts w:hint="eastAsia" w:ascii="楷体_GB2312" w:hAnsi="宋体" w:eastAsia="楷体_GB2312"/>
          <w:b w:val="0"/>
          <w:bCs/>
          <w:color w:val="000000"/>
          <w:sz w:val="24"/>
          <w:highlight w:val="none"/>
          <w:lang w:eastAsia="zh-CN"/>
        </w:rPr>
        <w:t>10.产品成立：</w:t>
      </w:r>
      <w:r>
        <w:rPr>
          <w:rFonts w:hint="eastAsia" w:ascii="楷体_GB2312" w:hAnsi="宋体" w:eastAsia="楷体_GB2312"/>
          <w:color w:val="000000"/>
          <w:sz w:val="24"/>
          <w:highlight w:val="none"/>
          <w:lang w:eastAsia="zh-CN"/>
        </w:rPr>
        <w:t>本理财产品募集期届满或产品管理人提前/延迟结束募集期时，若募集资金</w:t>
      </w:r>
      <w:r>
        <w:rPr>
          <w:rFonts w:hint="eastAsia" w:ascii="楷体_GB2312" w:hAnsi="宋体" w:eastAsia="楷体_GB2312"/>
          <w:color w:val="000000"/>
          <w:sz w:val="24"/>
          <w:highlight w:val="none"/>
          <w:lang w:val="en-US" w:eastAsia="zh-CN"/>
        </w:rPr>
        <w:t>满足产品</w:t>
      </w:r>
      <w:r>
        <w:rPr>
          <w:rFonts w:hint="eastAsia" w:ascii="楷体_GB2312" w:hAnsi="宋体" w:eastAsia="楷体_GB2312"/>
          <w:color w:val="000000"/>
          <w:sz w:val="24"/>
          <w:highlight w:val="none"/>
          <w:lang w:eastAsia="zh-CN"/>
        </w:rPr>
        <w:t>募集</w:t>
      </w:r>
      <w:r>
        <w:rPr>
          <w:rFonts w:hint="eastAsia" w:ascii="楷体_GB2312" w:hAnsi="宋体" w:eastAsia="楷体_GB2312"/>
          <w:color w:val="000000"/>
          <w:sz w:val="24"/>
          <w:highlight w:val="none"/>
          <w:lang w:val="en-US" w:eastAsia="zh-CN"/>
        </w:rPr>
        <w:t>规模</w:t>
      </w:r>
      <w:r>
        <w:rPr>
          <w:rFonts w:hint="eastAsia" w:ascii="楷体_GB2312" w:hAnsi="楷体" w:eastAsia="楷体_GB2312"/>
          <w:sz w:val="24"/>
          <w:highlight w:val="none"/>
        </w:rPr>
        <w:t>上限或/及下限</w:t>
      </w:r>
      <w:r>
        <w:rPr>
          <w:rFonts w:hint="eastAsia" w:ascii="楷体_GB2312" w:hAnsi="楷体" w:eastAsia="楷体_GB2312"/>
          <w:sz w:val="24"/>
          <w:highlight w:val="none"/>
          <w:lang w:val="en-US" w:eastAsia="zh-CN"/>
        </w:rPr>
        <w:t>的要求</w:t>
      </w: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且不存在其他因素导致产品不成立的</w:t>
      </w:r>
      <w:r>
        <w:rPr>
          <w:rFonts w:hint="eastAsia" w:ascii="楷体_GB2312" w:hAnsi="宋体" w:eastAsia="楷体_GB2312"/>
          <w:color w:val="000000"/>
          <w:sz w:val="24"/>
          <w:highlight w:val="none"/>
          <w:lang w:eastAsia="zh-CN"/>
        </w:rPr>
        <w:t>，则本理财产品成立；否则，本理财产品不成立。</w:t>
      </w:r>
      <w:r>
        <w:rPr>
          <w:rFonts w:hint="eastAsia" w:ascii="楷体_GB2312" w:hAnsi="宋体" w:eastAsia="楷体_GB2312"/>
          <w:color w:val="000000"/>
          <w:sz w:val="24"/>
          <w:highlight w:val="none"/>
        </w:rPr>
        <w:t>若</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理财产品不成立，</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将于原定</w:t>
      </w:r>
      <w:r>
        <w:rPr>
          <w:rFonts w:hint="eastAsia" w:ascii="楷体_GB2312" w:hAnsi="宋体" w:eastAsia="楷体_GB2312"/>
          <w:color w:val="000000"/>
          <w:sz w:val="24"/>
          <w:highlight w:val="none"/>
          <w:lang w:eastAsia="zh-CN"/>
        </w:rPr>
        <w:t>本理财</w:t>
      </w:r>
      <w:r>
        <w:rPr>
          <w:rFonts w:hint="eastAsia" w:ascii="楷体_GB2312" w:hAnsi="宋体" w:eastAsia="楷体_GB2312"/>
          <w:color w:val="000000"/>
          <w:sz w:val="24"/>
          <w:highlight w:val="none"/>
        </w:rPr>
        <w:t>产品成立日起2个工作日内将投资者</w:t>
      </w:r>
      <w:r>
        <w:rPr>
          <w:rFonts w:hint="eastAsia" w:ascii="楷体_GB2312" w:hAnsi="宋体" w:eastAsia="楷体_GB2312"/>
          <w:color w:val="000000"/>
          <w:sz w:val="24"/>
          <w:highlight w:val="none"/>
          <w:lang w:val="en-US" w:eastAsia="zh-CN"/>
        </w:rPr>
        <w:t>的</w:t>
      </w:r>
      <w:r>
        <w:rPr>
          <w:rFonts w:hint="eastAsia" w:ascii="楷体_GB2312" w:hAnsi="宋体" w:eastAsia="楷体_GB2312"/>
          <w:color w:val="000000"/>
          <w:sz w:val="24"/>
          <w:highlight w:val="none"/>
        </w:rPr>
        <w:t>理财</w:t>
      </w:r>
      <w:r>
        <w:rPr>
          <w:rFonts w:hint="eastAsia" w:ascii="楷体_GB2312" w:hAnsi="宋体" w:eastAsia="楷体_GB2312"/>
          <w:color w:val="000000"/>
          <w:sz w:val="24"/>
          <w:highlight w:val="none"/>
          <w:lang w:val="en-US" w:eastAsia="zh-CN"/>
        </w:rPr>
        <w:t>投资</w:t>
      </w:r>
      <w:r>
        <w:rPr>
          <w:rFonts w:hint="eastAsia" w:ascii="楷体_GB2312" w:hAnsi="宋体" w:eastAsia="楷体_GB2312"/>
          <w:color w:val="000000"/>
          <w:sz w:val="24"/>
          <w:highlight w:val="none"/>
        </w:rPr>
        <w:t>资金退回代销机构，由代销机构退回投资者，</w:t>
      </w:r>
      <w:r>
        <w:rPr>
          <w:rFonts w:hint="eastAsia" w:ascii="楷体_GB2312" w:hAnsi="宋体" w:eastAsia="楷体_GB2312"/>
          <w:b/>
          <w:bCs/>
          <w:color w:val="000000"/>
          <w:sz w:val="24"/>
          <w:highlight w:val="none"/>
          <w:lang w:val="en-US" w:eastAsia="zh-CN"/>
        </w:rPr>
        <w:t>本理财产品</w:t>
      </w:r>
      <w:r>
        <w:rPr>
          <w:rFonts w:hint="eastAsia" w:ascii="楷体_GB2312" w:hAnsi="宋体" w:eastAsia="楷体_GB2312"/>
          <w:b/>
          <w:bCs/>
          <w:color w:val="000000"/>
          <w:sz w:val="24"/>
          <w:highlight w:val="none"/>
        </w:rPr>
        <w:t>募集期结束后至理财</w:t>
      </w:r>
      <w:r>
        <w:rPr>
          <w:rFonts w:hint="eastAsia" w:ascii="楷体_GB2312" w:hAnsi="宋体" w:eastAsia="楷体_GB2312"/>
          <w:b/>
          <w:bCs/>
          <w:color w:val="000000"/>
          <w:sz w:val="24"/>
          <w:highlight w:val="none"/>
          <w:lang w:val="en-US" w:eastAsia="zh-CN"/>
        </w:rPr>
        <w:t>投资</w:t>
      </w:r>
      <w:r>
        <w:rPr>
          <w:rFonts w:hint="eastAsia" w:ascii="楷体_GB2312" w:hAnsi="宋体" w:eastAsia="楷体_GB2312"/>
          <w:b/>
          <w:bCs/>
          <w:color w:val="000000"/>
          <w:sz w:val="24"/>
          <w:highlight w:val="none"/>
        </w:rPr>
        <w:t>资金退回到账日期间不计付利息</w:t>
      </w:r>
      <w:r>
        <w:rPr>
          <w:rFonts w:hint="eastAsia" w:ascii="楷体_GB2312" w:hAnsi="宋体" w:eastAsia="楷体_GB2312"/>
          <w:color w:val="000000"/>
          <w:sz w:val="24"/>
          <w:highlight w:val="none"/>
        </w:rPr>
        <w:t>。</w:t>
      </w:r>
    </w:p>
    <w:p w14:paraId="6E602C59">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（二）产品的申购和赎回</w:t>
      </w:r>
    </w:p>
    <w:p w14:paraId="04F7D9B0">
      <w:pPr>
        <w:tabs>
          <w:tab w:val="left" w:pos="507"/>
        </w:tabs>
        <w:ind w:firstLine="480" w:firstLineChars="200"/>
        <w:rPr>
          <w:rFonts w:hint="eastAsia" w:ascii="楷体_GB2312" w:hAnsi="宋体" w:eastAsia="楷体_GB2312"/>
          <w:b w:val="0"/>
          <w:bCs/>
          <w:color w:val="000000"/>
          <w:sz w:val="24"/>
          <w:highlight w:val="none"/>
          <w:lang w:eastAsia="zh-CN"/>
        </w:rPr>
      </w:pPr>
      <w:r>
        <w:rPr>
          <w:rFonts w:hint="eastAsia" w:ascii="楷体_GB2312" w:hAnsi="宋体" w:eastAsia="楷体_GB2312"/>
          <w:b w:val="0"/>
          <w:bCs/>
          <w:color w:val="000000"/>
          <w:sz w:val="24"/>
          <w:highlight w:val="none"/>
          <w:lang w:eastAsia="zh-CN"/>
        </w:rPr>
        <w:t>1.本理财产品为封闭式净值型产品，产品存续期内不开放申购和赎回。</w:t>
      </w:r>
    </w:p>
    <w:p w14:paraId="1B8F8E03">
      <w:pPr>
        <w:tabs>
          <w:tab w:val="left" w:pos="507"/>
        </w:tabs>
        <w:ind w:firstLine="480" w:firstLineChars="200"/>
        <w:rPr>
          <w:rFonts w:hint="eastAsia" w:ascii="楷体_GB2312" w:eastAsia="楷体_GB2312"/>
          <w:bCs/>
          <w:sz w:val="24"/>
          <w:highlight w:val="none"/>
          <w:lang w:val="en-US" w:eastAsia="zh-CN"/>
        </w:rPr>
      </w:pPr>
      <w:r>
        <w:rPr>
          <w:rFonts w:hint="eastAsia" w:ascii="楷体_GB2312" w:hAnsi="宋体" w:eastAsia="楷体_GB2312"/>
          <w:b w:val="0"/>
          <w:bCs/>
          <w:color w:val="000000"/>
          <w:sz w:val="24"/>
          <w:highlight w:val="none"/>
          <w:lang w:eastAsia="zh-CN"/>
        </w:rPr>
        <w:t>★2.本理财产品存续期内，如遇有权机关冻结投资者持有的本理财产品份额的，产品管理人应按照有权机关要求进行操作。</w:t>
      </w:r>
    </w:p>
    <w:p w14:paraId="1C2E16C7">
      <w:pPr>
        <w:ind w:firstLine="482" w:firstLineChars="200"/>
        <w:rPr>
          <w:rFonts w:ascii="楷体_GB2312" w:hAnsi="宋体" w:eastAsia="楷体_GB2312"/>
          <w:b/>
          <w:bCs/>
          <w:color w:val="000000"/>
          <w:sz w:val="24"/>
          <w:highlight w:val="none"/>
        </w:rPr>
      </w:pPr>
      <w:r>
        <w:rPr>
          <w:rFonts w:hint="eastAsia" w:ascii="楷体_GB2312" w:hAnsi="楷体" w:eastAsia="楷体_GB2312"/>
          <w:b/>
          <w:bCs/>
          <w:sz w:val="24"/>
          <w:highlight w:val="none"/>
        </w:rPr>
        <w:t>★</w:t>
      </w:r>
      <w:r>
        <w:rPr>
          <w:rFonts w:hint="eastAsia" w:ascii="楷体_GB2312" w:hAnsi="宋体" w:eastAsia="楷体_GB2312"/>
          <w:b/>
          <w:bCs/>
          <w:color w:val="000000"/>
          <w:sz w:val="24"/>
          <w:highlight w:val="none"/>
          <w:lang w:val="en-US" w:eastAsia="zh-CN"/>
        </w:rPr>
        <w:t>六</w:t>
      </w:r>
      <w:r>
        <w:rPr>
          <w:rFonts w:hint="eastAsia" w:ascii="楷体_GB2312" w:hAnsi="宋体" w:eastAsia="楷体_GB2312"/>
          <w:b/>
          <w:bCs/>
          <w:color w:val="000000"/>
          <w:sz w:val="24"/>
          <w:highlight w:val="none"/>
        </w:rPr>
        <w:t>、产品的收益分配</w:t>
      </w:r>
    </w:p>
    <w:p w14:paraId="4D8B69B6">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（一）本理财产品净收益</w:t>
      </w:r>
    </w:p>
    <w:p w14:paraId="6F559688">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本理财产品净收益为本理财产品收益扣除国家有关规定及</w:t>
      </w:r>
      <w:r>
        <w:rPr>
          <w:rFonts w:hint="eastAsia" w:ascii="楷体_GB2312" w:hAnsi="仿宋" w:eastAsia="楷体_GB2312"/>
          <w:color w:val="000000"/>
          <w:sz w:val="24"/>
          <w:highlight w:val="none"/>
          <w:lang w:val="en-US" w:eastAsia="zh-CN"/>
        </w:rPr>
        <w:t>本理财产品</w:t>
      </w:r>
      <w:r>
        <w:rPr>
          <w:rFonts w:hint="eastAsia" w:ascii="楷体_GB2312" w:hAnsi="仿宋" w:eastAsia="楷体_GB2312"/>
          <w:color w:val="000000"/>
          <w:sz w:val="24"/>
          <w:highlight w:val="none"/>
        </w:rPr>
        <w:t>销售文件</w:t>
      </w:r>
      <w:r>
        <w:rPr>
          <w:rFonts w:hint="eastAsia" w:ascii="楷体_GB2312" w:hAnsi="宋体" w:eastAsia="楷体_GB2312"/>
          <w:color w:val="000000"/>
          <w:sz w:val="24"/>
          <w:highlight w:val="none"/>
        </w:rPr>
        <w:t>约定可以在</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产品收益中扣除的费用后的余额。</w:t>
      </w:r>
    </w:p>
    <w:p w14:paraId="2D97CAB6">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二</w:t>
      </w:r>
      <w:r>
        <w:rPr>
          <w:rFonts w:hint="eastAsia" w:ascii="楷体_GB2312" w:hAnsi="宋体" w:eastAsia="楷体_GB2312"/>
          <w:color w:val="000000"/>
          <w:sz w:val="24"/>
          <w:highlight w:val="none"/>
        </w:rPr>
        <w:t>）收益分配原则</w:t>
      </w:r>
    </w:p>
    <w:p w14:paraId="70B50BAB">
      <w:pPr>
        <w:ind w:firstLine="480" w:firstLineChars="20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rPr>
        <w:t>1.每一产品份额享有同等分配权；</w:t>
      </w:r>
    </w:p>
    <w:p w14:paraId="338422DD">
      <w:pPr>
        <w:ind w:firstLine="480" w:firstLineChars="20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2.</w:t>
      </w:r>
      <w:r>
        <w:rPr>
          <w:rFonts w:hint="eastAsia" w:ascii="楷体_GB2312" w:hAnsi="宋体" w:eastAsia="楷体_GB2312"/>
          <w:color w:val="000000"/>
          <w:sz w:val="24"/>
          <w:highlight w:val="none"/>
        </w:rPr>
        <w:t>可供分配利润为</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产品权益登记日（如有）未分配利润与未分配利润中的已实现部分的孰低数，其中权益登记日为登记享有分红权益的理财份额的日期；</w:t>
      </w:r>
    </w:p>
    <w:p w14:paraId="23181460">
      <w:pPr>
        <w:numPr>
          <w:ilvl w:val="0"/>
          <w:numId w:val="0"/>
        </w:numPr>
        <w:ind w:firstLine="480" w:firstLineChars="20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3.本理财</w:t>
      </w:r>
      <w:r>
        <w:rPr>
          <w:rFonts w:ascii="楷体_GB2312" w:hAnsi="宋体" w:eastAsia="楷体_GB2312"/>
          <w:color w:val="000000"/>
          <w:sz w:val="24"/>
          <w:highlight w:val="none"/>
        </w:rPr>
        <w:t>产品投资当期出现亏损，则不进行收益分配</w:t>
      </w:r>
      <w:r>
        <w:rPr>
          <w:rFonts w:hint="eastAsia" w:ascii="楷体_GB2312" w:hAnsi="宋体" w:eastAsia="楷体_GB2312"/>
          <w:color w:val="000000"/>
          <w:sz w:val="24"/>
          <w:highlight w:val="none"/>
        </w:rPr>
        <w:t>；</w:t>
      </w:r>
    </w:p>
    <w:p w14:paraId="4FDEE238">
      <w:pPr>
        <w:numPr>
          <w:ilvl w:val="0"/>
          <w:numId w:val="0"/>
        </w:num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4.本理财</w:t>
      </w:r>
      <w:r>
        <w:rPr>
          <w:rFonts w:hint="eastAsia" w:ascii="楷体_GB2312" w:hAnsi="宋体" w:eastAsia="楷体_GB2312"/>
          <w:color w:val="000000"/>
          <w:sz w:val="24"/>
          <w:highlight w:val="none"/>
        </w:rPr>
        <w:t>产品收益分配后产品份额净值不能低于产品单位面值。</w:t>
      </w:r>
    </w:p>
    <w:p w14:paraId="4A8EB0A5">
      <w:pPr>
        <w:ind w:firstLine="480" w:firstLineChars="200"/>
        <w:rPr>
          <w:rFonts w:ascii="楷体_GB2312" w:hAnsi="宋体" w:eastAsia="楷体_GB2312"/>
          <w:color w:val="000000"/>
          <w:sz w:val="24"/>
          <w:highlight w:val="none"/>
        </w:rPr>
      </w:pPr>
      <w:r>
        <w:rPr>
          <w:rFonts w:hint="eastAsia" w:ascii="楷体_GB2312" w:hAnsi="宋体" w:eastAsia="楷体_GB2312"/>
          <w:b w:val="0"/>
          <w:bCs/>
          <w:color w:val="000000"/>
          <w:sz w:val="24"/>
          <w:highlight w:val="none"/>
          <w:lang w:eastAsia="zh-CN"/>
        </w:rPr>
        <w:t>★</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eastAsia="zh-CN"/>
        </w:rPr>
        <w:t>三</w:t>
      </w:r>
      <w:r>
        <w:rPr>
          <w:rFonts w:hint="eastAsia" w:ascii="楷体_GB2312" w:hAnsi="宋体" w:eastAsia="楷体_GB2312"/>
          <w:color w:val="000000"/>
          <w:sz w:val="24"/>
          <w:highlight w:val="none"/>
        </w:rPr>
        <w:t>）收益分配方案</w:t>
      </w:r>
    </w:p>
    <w:p w14:paraId="6D8AA37A">
      <w:pPr>
        <w:ind w:firstLine="480" w:firstLineChars="200"/>
        <w:rPr>
          <w:rFonts w:hint="eastAsia"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lang w:val="en-US" w:eastAsia="zh-CN"/>
        </w:rPr>
        <w:t>1.</w:t>
      </w:r>
      <w:r>
        <w:rPr>
          <w:rFonts w:hint="eastAsia" w:ascii="楷体_GB2312" w:hAnsi="宋体" w:eastAsia="楷体_GB2312" w:cs="Times New Roman"/>
          <w:color w:val="000000"/>
          <w:sz w:val="24"/>
          <w:highlight w:val="none"/>
        </w:rPr>
        <w:t>产品管理人将根据收益分配原则进行不定期分配，收益分配方式仅为现金分红。</w:t>
      </w:r>
    </w:p>
    <w:p w14:paraId="43CDC064">
      <w:pPr>
        <w:ind w:firstLine="480" w:firstLineChars="200"/>
        <w:rPr>
          <w:highlight w:val="none"/>
        </w:rPr>
      </w:pPr>
      <w:r>
        <w:rPr>
          <w:rFonts w:hint="eastAsia" w:ascii="楷体_GB2312" w:hAnsi="宋体" w:eastAsia="楷体_GB2312"/>
          <w:color w:val="000000"/>
          <w:sz w:val="24"/>
          <w:highlight w:val="none"/>
          <w:lang w:val="en-US" w:eastAsia="zh-CN"/>
        </w:rPr>
        <w:t>2.</w:t>
      </w:r>
      <w:r>
        <w:rPr>
          <w:rFonts w:hint="eastAsia" w:ascii="楷体_GB2312" w:hAnsi="宋体" w:eastAsia="楷体_GB2312"/>
          <w:color w:val="000000"/>
          <w:sz w:val="24"/>
          <w:highlight w:val="none"/>
        </w:rPr>
        <w:t>理财产品收益分配方案由</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管理人拟订，由</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托管人复核，并于收益分配后的2个工作日内由</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管理人通过本理财产品</w:t>
      </w:r>
      <w:r>
        <w:rPr>
          <w:rFonts w:hint="eastAsia" w:ascii="楷体_GB2312" w:hAnsi="宋体" w:eastAsia="楷体_GB2312"/>
          <w:color w:val="000000"/>
          <w:sz w:val="24"/>
          <w:highlight w:val="none"/>
          <w:lang w:val="en-US" w:eastAsia="zh-CN"/>
        </w:rPr>
        <w:t>销售文件约定的</w:t>
      </w:r>
      <w:r>
        <w:rPr>
          <w:rFonts w:hint="eastAsia" w:ascii="楷体_GB2312" w:hAnsi="宋体" w:eastAsia="楷体_GB2312"/>
          <w:color w:val="000000"/>
          <w:sz w:val="24"/>
          <w:highlight w:val="none"/>
        </w:rPr>
        <w:t>信息披露渠道向投资者披露。</w:t>
      </w:r>
    </w:p>
    <w:p w14:paraId="10358A84">
      <w:pPr>
        <w:snapToGrid w:val="0"/>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3.当本理财</w:t>
      </w:r>
      <w:r>
        <w:rPr>
          <w:rFonts w:hint="eastAsia" w:ascii="楷体_GB2312" w:hAnsi="宋体" w:eastAsia="楷体_GB2312"/>
          <w:color w:val="000000"/>
          <w:sz w:val="24"/>
          <w:highlight w:val="none"/>
        </w:rPr>
        <w:t>产品到期后，产品管理人将根据理财资金所投资资产实际运作情况向投资者分配到期款项。</w:t>
      </w:r>
    </w:p>
    <w:p w14:paraId="4930753F">
      <w:pPr>
        <w:snapToGrid w:val="0"/>
        <w:ind w:firstLine="472" w:firstLineChars="196"/>
        <w:rPr>
          <w:rFonts w:hint="eastAsia" w:ascii="楷体_GB2312" w:hAnsi="宋体" w:eastAsia="楷体_GB2312"/>
          <w:b/>
          <w:color w:val="000000"/>
          <w:sz w:val="24"/>
          <w:highlight w:val="none"/>
        </w:rPr>
      </w:pPr>
      <w:r>
        <w:rPr>
          <w:rFonts w:hint="eastAsia" w:ascii="楷体_GB2312" w:hAnsi="宋体" w:eastAsia="楷体_GB2312"/>
          <w:b/>
          <w:color w:val="000000"/>
          <w:sz w:val="24"/>
          <w:highlight w:val="none"/>
        </w:rPr>
        <w:t>业绩比较基准为</w:t>
      </w:r>
      <w:r>
        <w:rPr>
          <w:rFonts w:hint="eastAsia" w:ascii="楷体_GB2312" w:hAnsi="宋体" w:eastAsia="楷体_GB2312"/>
          <w:b/>
          <w:color w:val="000000"/>
          <w:sz w:val="24"/>
          <w:highlight w:val="none"/>
          <w:lang w:val="en-US" w:eastAsia="zh-CN"/>
        </w:rPr>
        <w:t>产品</w:t>
      </w:r>
      <w:r>
        <w:rPr>
          <w:rFonts w:hint="eastAsia" w:ascii="楷体_GB2312" w:hAnsi="宋体" w:eastAsia="楷体_GB2312"/>
          <w:b/>
          <w:color w:val="000000"/>
          <w:sz w:val="24"/>
          <w:highlight w:val="none"/>
        </w:rPr>
        <w:t>管理人制定收益分配方案的参照基础</w:t>
      </w:r>
      <w:r>
        <w:rPr>
          <w:rFonts w:hint="eastAsia" w:ascii="楷体_GB2312" w:hAnsi="宋体" w:eastAsia="楷体_GB2312"/>
          <w:b/>
          <w:color w:val="000000"/>
          <w:sz w:val="24"/>
          <w:highlight w:val="none"/>
          <w:lang w:eastAsia="zh-CN"/>
        </w:rPr>
        <w:t>，</w:t>
      </w:r>
      <w:r>
        <w:rPr>
          <w:rFonts w:hint="eastAsia" w:ascii="楷体_GB2312" w:hAnsi="宋体" w:eastAsia="楷体_GB2312"/>
          <w:b/>
          <w:color w:val="000000"/>
          <w:sz w:val="24"/>
          <w:highlight w:val="none"/>
        </w:rPr>
        <w:t>仅供</w:t>
      </w:r>
      <w:r>
        <w:rPr>
          <w:rFonts w:hint="eastAsia" w:ascii="楷体_GB2312" w:hAnsi="宋体" w:eastAsia="楷体_GB2312"/>
          <w:b/>
          <w:color w:val="000000"/>
          <w:sz w:val="24"/>
          <w:highlight w:val="none"/>
          <w:lang w:val="en-US" w:eastAsia="zh-CN"/>
        </w:rPr>
        <w:t>投资者</w:t>
      </w:r>
      <w:r>
        <w:rPr>
          <w:rFonts w:hint="eastAsia" w:ascii="楷体_GB2312" w:hAnsi="宋体" w:eastAsia="楷体_GB2312"/>
          <w:b/>
          <w:color w:val="000000"/>
          <w:sz w:val="24"/>
          <w:highlight w:val="none"/>
        </w:rPr>
        <w:t>参考，并不构成</w:t>
      </w:r>
      <w:r>
        <w:rPr>
          <w:rFonts w:hint="eastAsia" w:ascii="楷体_GB2312" w:hAnsi="宋体" w:eastAsia="楷体_GB2312"/>
          <w:b/>
          <w:color w:val="000000"/>
          <w:sz w:val="24"/>
          <w:highlight w:val="none"/>
          <w:lang w:val="en-US" w:eastAsia="zh-CN"/>
        </w:rPr>
        <w:t>产品管理人</w:t>
      </w:r>
      <w:r>
        <w:rPr>
          <w:rFonts w:hint="eastAsia" w:ascii="楷体_GB2312" w:hAnsi="宋体" w:eastAsia="楷体_GB2312"/>
          <w:b/>
          <w:color w:val="000000"/>
          <w:sz w:val="24"/>
          <w:highlight w:val="none"/>
        </w:rPr>
        <w:t>对投资本金不受损失或者取得最低投资收益的承诺。</w:t>
      </w:r>
    </w:p>
    <w:p w14:paraId="5FF40235">
      <w:pPr>
        <w:snapToGrid w:val="0"/>
        <w:ind w:firstLine="472" w:firstLineChars="196"/>
        <w:rPr>
          <w:highlight w:val="none"/>
        </w:rPr>
      </w:pPr>
      <w:r>
        <w:rPr>
          <w:rFonts w:hint="eastAsia" w:ascii="楷体_GB2312" w:hAnsi="宋体" w:eastAsia="楷体_GB2312"/>
          <w:b/>
          <w:color w:val="000000"/>
          <w:sz w:val="24"/>
          <w:highlight w:val="none"/>
        </w:rPr>
        <w:t>在符合法律法规及</w:t>
      </w:r>
      <w:r>
        <w:rPr>
          <w:rFonts w:hint="eastAsia" w:ascii="楷体_GB2312" w:hAnsi="宋体" w:eastAsia="楷体_GB2312"/>
          <w:b/>
          <w:color w:val="000000"/>
          <w:sz w:val="24"/>
          <w:highlight w:val="none"/>
          <w:lang w:val="en-US" w:eastAsia="zh-CN"/>
        </w:rPr>
        <w:t>本</w:t>
      </w:r>
      <w:r>
        <w:rPr>
          <w:rFonts w:hint="eastAsia" w:ascii="楷体_GB2312" w:hAnsi="宋体" w:eastAsia="楷体_GB2312"/>
          <w:b/>
          <w:color w:val="000000"/>
          <w:sz w:val="24"/>
          <w:highlight w:val="none"/>
        </w:rPr>
        <w:t>理财产品销售文件约定，并对</w:t>
      </w:r>
      <w:r>
        <w:rPr>
          <w:rFonts w:hint="eastAsia" w:ascii="楷体_GB2312" w:hAnsi="宋体" w:eastAsia="楷体_GB2312"/>
          <w:b/>
          <w:color w:val="000000"/>
          <w:sz w:val="24"/>
          <w:highlight w:val="none"/>
          <w:lang w:val="en-US" w:eastAsia="zh-CN"/>
        </w:rPr>
        <w:t>本</w:t>
      </w:r>
      <w:r>
        <w:rPr>
          <w:rFonts w:hint="eastAsia" w:ascii="楷体_GB2312" w:hAnsi="宋体" w:eastAsia="楷体_GB2312"/>
          <w:b/>
          <w:color w:val="000000"/>
          <w:sz w:val="24"/>
          <w:highlight w:val="none"/>
        </w:rPr>
        <w:t>理财产品投资者利益无实质不利影响的前提下，产品管理人可提前</w:t>
      </w:r>
      <w:r>
        <w:rPr>
          <w:rFonts w:hint="eastAsia" w:ascii="楷体_GB2312" w:hAnsi="宋体" w:eastAsia="楷体_GB2312"/>
          <w:b/>
          <w:color w:val="000000"/>
          <w:sz w:val="24"/>
          <w:highlight w:val="none"/>
          <w:lang w:val="en-US" w:eastAsia="zh-CN"/>
        </w:rPr>
        <w:t>1</w:t>
      </w:r>
      <w:r>
        <w:rPr>
          <w:rFonts w:hint="eastAsia" w:ascii="楷体_GB2312" w:hAnsi="宋体" w:eastAsia="楷体_GB2312"/>
          <w:b/>
          <w:color w:val="000000"/>
          <w:sz w:val="24"/>
          <w:highlight w:val="none"/>
        </w:rPr>
        <w:t>个工作日通知投资者，对</w:t>
      </w:r>
      <w:r>
        <w:rPr>
          <w:rFonts w:hint="eastAsia" w:ascii="楷体_GB2312" w:hAnsi="宋体" w:eastAsia="楷体_GB2312"/>
          <w:b/>
          <w:color w:val="000000"/>
          <w:sz w:val="24"/>
          <w:highlight w:val="none"/>
          <w:lang w:val="en-US" w:eastAsia="zh-CN"/>
        </w:rPr>
        <w:t>本理财产品的收益</w:t>
      </w:r>
      <w:r>
        <w:rPr>
          <w:rFonts w:hint="eastAsia" w:ascii="楷体_GB2312" w:hAnsi="宋体" w:eastAsia="楷体_GB2312"/>
          <w:b/>
          <w:color w:val="000000"/>
          <w:sz w:val="24"/>
          <w:highlight w:val="none"/>
        </w:rPr>
        <w:t>分配</w:t>
      </w:r>
      <w:r>
        <w:rPr>
          <w:rFonts w:hint="eastAsia" w:ascii="楷体_GB2312" w:hAnsi="宋体" w:eastAsia="楷体_GB2312"/>
          <w:b/>
          <w:color w:val="000000"/>
          <w:sz w:val="24"/>
          <w:highlight w:val="none"/>
          <w:lang w:val="en-US" w:eastAsia="zh-CN"/>
        </w:rPr>
        <w:t>原则</w:t>
      </w:r>
      <w:r>
        <w:rPr>
          <w:rFonts w:hint="eastAsia" w:ascii="楷体_GB2312" w:hAnsi="宋体" w:eastAsia="楷体_GB2312"/>
          <w:b/>
          <w:color w:val="000000"/>
          <w:sz w:val="24"/>
          <w:highlight w:val="none"/>
        </w:rPr>
        <w:t>及</w:t>
      </w:r>
      <w:r>
        <w:rPr>
          <w:rFonts w:hint="eastAsia" w:ascii="楷体_GB2312" w:hAnsi="宋体" w:eastAsia="楷体_GB2312"/>
          <w:b/>
          <w:color w:val="000000"/>
          <w:sz w:val="24"/>
          <w:highlight w:val="none"/>
          <w:lang w:val="en-US" w:eastAsia="zh-CN"/>
        </w:rPr>
        <w:t>方案</w:t>
      </w:r>
      <w:r>
        <w:rPr>
          <w:rFonts w:hint="eastAsia" w:ascii="楷体_GB2312" w:hAnsi="宋体" w:eastAsia="楷体_GB2312"/>
          <w:b/>
          <w:color w:val="000000"/>
          <w:sz w:val="24"/>
          <w:highlight w:val="none"/>
        </w:rPr>
        <w:t>进行调整。</w:t>
      </w:r>
    </w:p>
    <w:p w14:paraId="2DCAFC2A">
      <w:pPr>
        <w:ind w:firstLine="482" w:firstLineChars="200"/>
        <w:rPr>
          <w:rFonts w:ascii="楷体_GB2312" w:hAnsi="宋体" w:eastAsia="楷体_GB2312"/>
          <w:b/>
          <w:color w:val="000000"/>
          <w:sz w:val="24"/>
          <w:highlight w:val="none"/>
        </w:rPr>
      </w:pPr>
      <w:r>
        <w:rPr>
          <w:rFonts w:hint="eastAsia" w:ascii="楷体_GB2312" w:hAnsi="宋体" w:eastAsia="楷体_GB2312"/>
          <w:b/>
          <w:color w:val="000000"/>
          <w:sz w:val="24"/>
          <w:highlight w:val="none"/>
          <w:lang w:val="en-US" w:eastAsia="zh-CN"/>
        </w:rPr>
        <w:t>七</w:t>
      </w:r>
      <w:r>
        <w:rPr>
          <w:rFonts w:hint="eastAsia" w:ascii="楷体_GB2312" w:hAnsi="宋体" w:eastAsia="楷体_GB2312"/>
          <w:b/>
          <w:color w:val="000000"/>
          <w:sz w:val="24"/>
          <w:highlight w:val="none"/>
        </w:rPr>
        <w:t>、产品的终止与清算</w:t>
      </w:r>
    </w:p>
    <w:p w14:paraId="05DA7180">
      <w:pPr>
        <w:ind w:firstLine="480" w:firstLineChars="200"/>
        <w:rPr>
          <w:rFonts w:ascii="楷体_GB2312" w:hAnsi="宋体" w:eastAsia="楷体_GB2312"/>
          <w:color w:val="000000"/>
          <w:sz w:val="24"/>
          <w:highlight w:val="none"/>
        </w:rPr>
      </w:pPr>
      <w:r>
        <w:rPr>
          <w:rFonts w:hint="eastAsia" w:ascii="楷体_GB2312" w:hAnsi="楷体" w:eastAsia="楷体_GB2312"/>
          <w:sz w:val="24"/>
          <w:highlight w:val="none"/>
        </w:rPr>
        <w:t>★</w:t>
      </w:r>
      <w:r>
        <w:rPr>
          <w:rFonts w:hint="eastAsia" w:ascii="楷体_GB2312" w:hAnsi="宋体" w:eastAsia="楷体_GB2312"/>
          <w:color w:val="000000"/>
          <w:sz w:val="24"/>
          <w:highlight w:val="none"/>
        </w:rPr>
        <w:t>（一）产品的</w:t>
      </w:r>
      <w:r>
        <w:rPr>
          <w:rFonts w:hint="eastAsia" w:ascii="楷体_GB2312" w:hAnsi="宋体" w:eastAsia="楷体_GB2312"/>
          <w:color w:val="000000"/>
          <w:sz w:val="24"/>
          <w:highlight w:val="none"/>
          <w:lang w:val="en-US" w:eastAsia="zh-CN"/>
        </w:rPr>
        <w:t>提前</w:t>
      </w:r>
      <w:r>
        <w:rPr>
          <w:rFonts w:hint="eastAsia" w:ascii="楷体_GB2312" w:hAnsi="宋体" w:eastAsia="楷体_GB2312"/>
          <w:color w:val="000000"/>
          <w:sz w:val="24"/>
          <w:highlight w:val="none"/>
        </w:rPr>
        <w:t>终止</w:t>
      </w:r>
    </w:p>
    <w:p w14:paraId="6DC346C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本理财产品存续期内如</w:t>
      </w:r>
      <w:r>
        <w:rPr>
          <w:rFonts w:hint="eastAsia" w:ascii="楷体_GB2312" w:hAnsi="宋体" w:eastAsia="楷体_GB2312"/>
          <w:color w:val="000000"/>
          <w:sz w:val="24"/>
          <w:highlight w:val="none"/>
        </w:rPr>
        <w:t>出现以下情况，产品管理人有权</w:t>
      </w:r>
      <w:r>
        <w:rPr>
          <w:rFonts w:hint="eastAsia" w:ascii="楷体_GB2312" w:hAnsi="宋体" w:eastAsia="楷体_GB2312"/>
          <w:color w:val="000000"/>
          <w:sz w:val="24"/>
          <w:highlight w:val="none"/>
          <w:lang w:val="en-US" w:eastAsia="zh-CN"/>
        </w:rPr>
        <w:t>提前</w:t>
      </w:r>
      <w:r>
        <w:rPr>
          <w:rFonts w:hint="eastAsia" w:ascii="楷体_GB2312" w:hAnsi="宋体" w:eastAsia="楷体_GB2312"/>
          <w:color w:val="000000"/>
          <w:sz w:val="24"/>
          <w:highlight w:val="none"/>
        </w:rPr>
        <w:t>终止本理财产品：</w:t>
      </w:r>
    </w:p>
    <w:p w14:paraId="11C8E270">
      <w:pPr>
        <w:rPr>
          <w:rFonts w:ascii="楷体_GB2312" w:hAnsi="宋体" w:eastAsia="楷体_GB2312"/>
          <w:color w:val="000000"/>
          <w:sz w:val="24"/>
          <w:highlight w:val="none"/>
        </w:rPr>
      </w:pPr>
      <w:r>
        <w:rPr>
          <w:rFonts w:hint="eastAsia" w:ascii="楷体_GB2312" w:hAnsi="宋体" w:eastAsia="楷体_GB2312"/>
          <w:color w:val="000000"/>
          <w:sz w:val="24"/>
          <w:highlight w:val="none"/>
        </w:rPr>
        <w:t xml:space="preserve">    1.由于监管机构要求或法律法规规定需要终止</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w:t>
      </w:r>
    </w:p>
    <w:p w14:paraId="00540B8B">
      <w:pPr>
        <w:ind w:firstLine="480"/>
        <w:rPr>
          <w:rFonts w:ascii="楷体_GB2312" w:hAnsi="宋体" w:eastAsia="楷体_GB2312"/>
          <w:color w:val="000000"/>
          <w:sz w:val="24"/>
          <w:highlight w:val="none"/>
        </w:rPr>
      </w:pPr>
      <w:r>
        <w:rPr>
          <w:rFonts w:hint="eastAsia" w:ascii="楷体_GB2312" w:hAnsi="宋体" w:eastAsia="楷体_GB2312"/>
          <w:color w:val="000000"/>
          <w:sz w:val="24"/>
          <w:highlight w:val="none"/>
        </w:rPr>
        <w:t>2.因自然灾害、疫情、严重传染病、金融市场危机、战争、国家政策变化</w:t>
      </w:r>
      <w:r>
        <w:rPr>
          <w:rFonts w:hint="eastAsia" w:ascii="楷体_GB2312" w:hAnsi="宋体" w:eastAsia="楷体_GB2312"/>
          <w:color w:val="000000"/>
          <w:sz w:val="24"/>
          <w:highlight w:val="none"/>
          <w:lang w:val="en-US" w:eastAsia="zh-CN"/>
        </w:rPr>
        <w:t>等</w:t>
      </w:r>
      <w:r>
        <w:rPr>
          <w:rFonts w:hint="eastAsia" w:ascii="楷体_GB2312" w:hAnsi="宋体" w:eastAsia="楷体_GB2312"/>
          <w:color w:val="000000"/>
          <w:sz w:val="24"/>
          <w:highlight w:val="none"/>
        </w:rPr>
        <w:t>不可抗力</w:t>
      </w:r>
      <w:r>
        <w:rPr>
          <w:rFonts w:hint="eastAsia" w:ascii="楷体_GB2312" w:hAnsi="宋体" w:eastAsia="楷体_GB2312"/>
          <w:color w:val="000000"/>
          <w:sz w:val="24"/>
          <w:highlight w:val="none"/>
          <w:lang w:val="en-US" w:eastAsia="zh-CN"/>
        </w:rPr>
        <w:t>因素</w:t>
      </w:r>
      <w:r>
        <w:rPr>
          <w:rFonts w:hint="eastAsia" w:ascii="楷体_GB2312" w:hAnsi="宋体" w:eastAsia="楷体_GB2312"/>
          <w:color w:val="000000"/>
          <w:sz w:val="24"/>
          <w:highlight w:val="none"/>
        </w:rPr>
        <w:t>及/或意外事件导致</w:t>
      </w:r>
      <w:r>
        <w:rPr>
          <w:rFonts w:hint="eastAsia" w:ascii="楷体_GB2312" w:hAnsi="宋体" w:eastAsia="楷体_GB2312"/>
          <w:color w:val="000000"/>
          <w:sz w:val="24"/>
          <w:highlight w:val="none"/>
          <w:lang w:val="en-US" w:eastAsia="zh-CN"/>
        </w:rPr>
        <w:t>本理财产品无法正常运作或</w:t>
      </w:r>
      <w:r>
        <w:rPr>
          <w:rFonts w:hint="eastAsia" w:ascii="楷体_GB2312" w:hAnsi="宋体" w:eastAsia="楷体_GB2312"/>
          <w:color w:val="000000"/>
          <w:sz w:val="24"/>
          <w:highlight w:val="none"/>
        </w:rPr>
        <w:t>产品管理人无法继续履行</w:t>
      </w:r>
      <w:r>
        <w:rPr>
          <w:rFonts w:hint="eastAsia" w:ascii="楷体_GB2312" w:hAnsi="仿宋" w:eastAsia="楷体_GB2312"/>
          <w:color w:val="000000"/>
          <w:sz w:val="24"/>
          <w:highlight w:val="none"/>
          <w:lang w:val="en-US" w:eastAsia="zh-CN"/>
        </w:rPr>
        <w:t>本理财产品</w:t>
      </w:r>
      <w:r>
        <w:rPr>
          <w:rFonts w:hint="eastAsia" w:ascii="楷体_GB2312" w:hAnsi="仿宋" w:eastAsia="楷体_GB2312"/>
          <w:color w:val="000000"/>
          <w:sz w:val="24"/>
          <w:highlight w:val="none"/>
        </w:rPr>
        <w:t>销售文件</w:t>
      </w:r>
      <w:r>
        <w:rPr>
          <w:rFonts w:hint="eastAsia" w:ascii="楷体_GB2312" w:hAnsi="宋体" w:eastAsia="楷体_GB2312"/>
          <w:color w:val="000000"/>
          <w:sz w:val="24"/>
          <w:highlight w:val="none"/>
        </w:rPr>
        <w:t>约定事项；</w:t>
      </w:r>
    </w:p>
    <w:p w14:paraId="1E0FE9AD">
      <w:pPr>
        <w:ind w:firstLine="480"/>
        <w:rPr>
          <w:rFonts w:ascii="楷体_GB2312" w:hAnsi="宋体" w:eastAsia="楷体_GB2312"/>
          <w:color w:val="000000"/>
          <w:sz w:val="24"/>
          <w:highlight w:val="none"/>
        </w:rPr>
      </w:pPr>
      <w:r>
        <w:rPr>
          <w:rFonts w:hint="eastAsia" w:ascii="楷体_GB2312" w:hAnsi="宋体" w:eastAsia="楷体_GB2312"/>
          <w:color w:val="000000"/>
          <w:sz w:val="24"/>
          <w:highlight w:val="none"/>
        </w:rPr>
        <w:t>3.遇有市场出现剧烈波动、异常风险事件等情形导致</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理财产品收益出现大幅波动或严重影响</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理财产品的资产安全；</w:t>
      </w:r>
    </w:p>
    <w:p w14:paraId="4B522B91">
      <w:pPr>
        <w:ind w:firstLine="480"/>
        <w:rPr>
          <w:rFonts w:ascii="楷体_GB2312" w:hAnsi="宋体" w:eastAsia="楷体_GB2312"/>
          <w:color w:val="000000"/>
          <w:sz w:val="24"/>
          <w:highlight w:val="none"/>
        </w:rPr>
      </w:pPr>
      <w:r>
        <w:rPr>
          <w:rFonts w:hint="eastAsia" w:ascii="楷体_GB2312" w:hAnsi="宋体" w:eastAsia="楷体_GB2312"/>
          <w:color w:val="000000"/>
          <w:sz w:val="24"/>
          <w:highlight w:val="none"/>
        </w:rPr>
        <w:t>4.因理财资金被有权机关扣划等原因导致</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理财产品剩余资产无法满足相关法律法规规定、所投资市场要求或协议等相关法律文件约定，或者继续存续无法实现投资目标；</w:t>
      </w:r>
    </w:p>
    <w:p w14:paraId="62FFDFDC">
      <w:pPr>
        <w:ind w:firstLine="480"/>
        <w:rPr>
          <w:rFonts w:hint="eastAsia" w:ascii="楷体_GB2312" w:hAnsi="宋体" w:eastAsia="楷体_GB2312"/>
          <w:color w:val="000000"/>
          <w:sz w:val="24"/>
          <w:highlight w:val="none"/>
        </w:rPr>
      </w:pPr>
      <w:r>
        <w:rPr>
          <w:rFonts w:hint="eastAsia" w:ascii="楷体_GB2312" w:hAnsi="宋体" w:eastAsia="楷体_GB2312"/>
          <w:color w:val="000000"/>
          <w:sz w:val="24"/>
          <w:highlight w:val="none"/>
        </w:rPr>
        <w:t>5.相关投资</w:t>
      </w:r>
      <w:r>
        <w:rPr>
          <w:rFonts w:hint="eastAsia" w:ascii="楷体_GB2312" w:hAnsi="宋体" w:eastAsia="楷体_GB2312"/>
          <w:color w:val="000000"/>
          <w:sz w:val="24"/>
          <w:highlight w:val="none"/>
          <w:lang w:val="en-US" w:eastAsia="zh-CN"/>
        </w:rPr>
        <w:t>合作</w:t>
      </w:r>
      <w:r>
        <w:rPr>
          <w:rFonts w:hint="eastAsia" w:ascii="楷体_GB2312" w:hAnsi="宋体" w:eastAsia="楷体_GB2312"/>
          <w:color w:val="000000"/>
          <w:sz w:val="24"/>
          <w:highlight w:val="none"/>
        </w:rPr>
        <w:t>机构或运用理财资金的第三方主体实施符合法律法规规定或协议等相关文件约定的行为导致</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理财产品被动终止；</w:t>
      </w:r>
    </w:p>
    <w:p w14:paraId="48B9CB02">
      <w:pPr>
        <w:ind w:firstLine="48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6.</w:t>
      </w:r>
      <w:r>
        <w:rPr>
          <w:rFonts w:hint="eastAsia" w:ascii="楷体_GB2312" w:hAnsi="宋体" w:eastAsia="楷体_GB2312"/>
          <w:color w:val="000000"/>
          <w:sz w:val="24"/>
          <w:highlight w:val="none"/>
        </w:rPr>
        <w:t>产品管理人根据市场情况认为需要终止</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w:t>
      </w:r>
    </w:p>
    <w:p w14:paraId="54B04EC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产品管理人</w:t>
      </w:r>
      <w:r>
        <w:rPr>
          <w:rFonts w:hint="eastAsia" w:ascii="楷体_GB2312" w:hAnsi="宋体" w:eastAsia="楷体_GB2312"/>
          <w:color w:val="000000"/>
          <w:sz w:val="24"/>
          <w:highlight w:val="none"/>
          <w:lang w:val="en-US" w:eastAsia="zh-CN"/>
        </w:rPr>
        <w:t>提前</w:t>
      </w:r>
      <w:r>
        <w:rPr>
          <w:rFonts w:hint="eastAsia" w:ascii="楷体_GB2312" w:hAnsi="宋体" w:eastAsia="楷体_GB2312"/>
          <w:color w:val="000000"/>
          <w:sz w:val="24"/>
          <w:highlight w:val="none"/>
        </w:rPr>
        <w:t>终止本理财产品的，应提前</w:t>
      </w:r>
      <w:r>
        <w:rPr>
          <w:rFonts w:hint="default" w:ascii="楷体_GB2312" w:hAnsi="宋体" w:eastAsia="楷体_GB2312"/>
          <w:color w:val="000000"/>
          <w:sz w:val="24"/>
          <w:highlight w:val="none"/>
          <w:lang w:val="en-US"/>
        </w:rPr>
        <w:t>1</w:t>
      </w:r>
      <w:r>
        <w:rPr>
          <w:rFonts w:hint="eastAsia" w:ascii="楷体_GB2312" w:hAnsi="宋体" w:eastAsia="楷体_GB2312"/>
          <w:color w:val="000000"/>
          <w:sz w:val="24"/>
          <w:highlight w:val="none"/>
          <w:lang w:val="en-US" w:eastAsia="zh-CN"/>
        </w:rPr>
        <w:t>个工作日</w:t>
      </w:r>
      <w:r>
        <w:rPr>
          <w:rFonts w:hint="eastAsia" w:ascii="楷体_GB2312" w:hAnsi="宋体" w:eastAsia="楷体_GB2312"/>
          <w:color w:val="000000"/>
          <w:sz w:val="24"/>
          <w:highlight w:val="none"/>
        </w:rPr>
        <w:t>公告本理财产品终止日及</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产品终止后的理财本金及收益到账日，并通过本理财产品</w:t>
      </w:r>
      <w:r>
        <w:rPr>
          <w:rFonts w:hint="eastAsia" w:ascii="楷体_GB2312" w:hAnsi="宋体" w:eastAsia="楷体_GB2312"/>
          <w:color w:val="000000"/>
          <w:sz w:val="24"/>
          <w:highlight w:val="none"/>
          <w:lang w:val="en-US" w:eastAsia="zh-CN"/>
        </w:rPr>
        <w:t>销售文件约定的</w:t>
      </w:r>
      <w:r>
        <w:rPr>
          <w:rFonts w:hint="eastAsia" w:ascii="楷体_GB2312" w:hAnsi="宋体" w:eastAsia="楷体_GB2312"/>
          <w:color w:val="000000"/>
          <w:sz w:val="24"/>
          <w:highlight w:val="none"/>
        </w:rPr>
        <w:t>信息披露渠道进行公告。</w:t>
      </w:r>
    </w:p>
    <w:p w14:paraId="4BFF3B03">
      <w:pPr>
        <w:ind w:firstLine="480" w:firstLineChars="200"/>
        <w:rPr>
          <w:rFonts w:ascii="楷体_GB2312" w:hAnsi="宋体" w:eastAsia="楷体_GB2312"/>
          <w:color w:val="000000"/>
          <w:sz w:val="24"/>
          <w:highlight w:val="none"/>
          <w:lang w:eastAsia="zh-Hans"/>
        </w:rPr>
      </w:pPr>
      <w:r>
        <w:rPr>
          <w:rFonts w:hint="eastAsia" w:ascii="楷体_GB2312" w:hAnsi="楷体" w:eastAsia="楷体_GB2312"/>
          <w:sz w:val="24"/>
          <w:highlight w:val="none"/>
        </w:rPr>
        <w:t>★</w:t>
      </w:r>
      <w:r>
        <w:rPr>
          <w:rFonts w:hint="eastAsia" w:ascii="楷体_GB2312" w:hAnsi="楷体" w:eastAsia="楷体_GB2312"/>
          <w:sz w:val="24"/>
          <w:highlight w:val="none"/>
          <w:lang w:eastAsia="zh-Hans"/>
        </w:rPr>
        <w:t>（二）</w:t>
      </w:r>
      <w:r>
        <w:rPr>
          <w:rFonts w:hint="eastAsia" w:ascii="楷体_GB2312" w:hAnsi="宋体" w:eastAsia="楷体_GB2312"/>
          <w:color w:val="000000"/>
          <w:sz w:val="24"/>
          <w:highlight w:val="none"/>
          <w:lang w:eastAsia="zh-Hans"/>
        </w:rPr>
        <w:t>产品的延迟兑付</w:t>
      </w:r>
    </w:p>
    <w:p w14:paraId="377DE927">
      <w:pPr>
        <w:ind w:firstLine="480" w:firstLineChars="200"/>
        <w:rPr>
          <w:rFonts w:ascii="楷体_GB2312" w:hAnsi="宋体" w:eastAsia="楷体_GB2312"/>
          <w:color w:val="000000"/>
          <w:sz w:val="24"/>
          <w:highlight w:val="none"/>
          <w:lang w:eastAsia="zh-Hans"/>
        </w:rPr>
      </w:pPr>
      <w:r>
        <w:rPr>
          <w:rFonts w:hint="eastAsia" w:ascii="楷体_GB2312" w:hAnsi="宋体" w:eastAsia="楷体_GB2312"/>
          <w:color w:val="000000"/>
          <w:sz w:val="24"/>
          <w:highlight w:val="none"/>
          <w:lang w:val="en-US" w:eastAsia="zh-CN"/>
        </w:rPr>
        <w:t>本理财产品如</w:t>
      </w:r>
      <w:r>
        <w:rPr>
          <w:rFonts w:ascii="楷体_GB2312" w:hAnsi="宋体" w:eastAsia="楷体_GB2312"/>
          <w:color w:val="000000"/>
          <w:sz w:val="24"/>
          <w:highlight w:val="none"/>
          <w:lang w:eastAsia="zh-Hans"/>
        </w:rPr>
        <w:t>出现以下情况，产品管理人有权延迟兑付本理财产品:</w:t>
      </w:r>
    </w:p>
    <w:p w14:paraId="7E19FE00">
      <w:pPr>
        <w:numPr>
          <w:ilvl w:val="0"/>
          <w:numId w:val="0"/>
        </w:numPr>
        <w:ind w:firstLine="480" w:firstLineChars="200"/>
        <w:rPr>
          <w:rFonts w:ascii="楷体_GB2312" w:hAnsi="宋体" w:eastAsia="楷体_GB2312"/>
          <w:color w:val="auto"/>
          <w:sz w:val="24"/>
          <w:highlight w:val="none"/>
          <w:lang w:eastAsia="zh-Hans"/>
        </w:rPr>
      </w:pPr>
      <w:r>
        <w:rPr>
          <w:rFonts w:hint="eastAsia" w:ascii="楷体_GB2312" w:hAnsi="宋体" w:eastAsia="楷体_GB2312"/>
          <w:color w:val="auto"/>
          <w:sz w:val="24"/>
          <w:highlight w:val="none"/>
          <w:lang w:val="en-US" w:eastAsia="zh-CN"/>
        </w:rPr>
        <w:t>1.本理财</w:t>
      </w:r>
      <w:r>
        <w:rPr>
          <w:rFonts w:ascii="楷体_GB2312" w:hAnsi="宋体" w:eastAsia="楷体_GB2312"/>
          <w:color w:val="auto"/>
          <w:sz w:val="24"/>
          <w:highlight w:val="none"/>
          <w:lang w:eastAsia="zh-Hans"/>
        </w:rPr>
        <w:t>产品到期日遇</w:t>
      </w:r>
      <w:r>
        <w:rPr>
          <w:rFonts w:hint="eastAsia" w:ascii="楷体_GB2312" w:hAnsi="宋体" w:eastAsia="楷体_GB2312"/>
          <w:color w:val="auto"/>
          <w:sz w:val="24"/>
          <w:highlight w:val="none"/>
          <w:lang w:val="en-US" w:eastAsia="zh-CN"/>
        </w:rPr>
        <w:t>节假日</w:t>
      </w:r>
      <w:r>
        <w:rPr>
          <w:rFonts w:ascii="楷体_GB2312" w:hAnsi="宋体" w:eastAsia="楷体_GB2312"/>
          <w:color w:val="auto"/>
          <w:sz w:val="24"/>
          <w:highlight w:val="none"/>
          <w:lang w:eastAsia="zh-Hans"/>
        </w:rPr>
        <w:t>顺延至下一个</w:t>
      </w:r>
      <w:r>
        <w:rPr>
          <w:rFonts w:hint="eastAsia" w:ascii="楷体_GB2312" w:hAnsi="宋体" w:eastAsia="楷体_GB2312"/>
          <w:color w:val="auto"/>
          <w:sz w:val="24"/>
          <w:highlight w:val="none"/>
          <w:lang w:val="en-US" w:eastAsia="zh-CN"/>
        </w:rPr>
        <w:t>工作</w:t>
      </w:r>
      <w:r>
        <w:rPr>
          <w:rFonts w:ascii="楷体_GB2312" w:hAnsi="宋体" w:eastAsia="楷体_GB2312" w:cs="Times New Roman"/>
          <w:color w:val="auto"/>
          <w:sz w:val="24"/>
          <w:highlight w:val="none"/>
          <w:lang w:eastAsia="zh-Hans"/>
        </w:rPr>
        <w:t>日，</w:t>
      </w:r>
      <w:r>
        <w:rPr>
          <w:rFonts w:ascii="楷体_GB2312" w:hAnsi="宋体" w:eastAsia="楷体_GB2312"/>
          <w:color w:val="auto"/>
          <w:sz w:val="24"/>
          <w:highlight w:val="none"/>
          <w:lang w:eastAsia="zh-Hans"/>
        </w:rPr>
        <w:t>投资期限和投资者清算资金兑付将相应调整</w:t>
      </w:r>
      <w:r>
        <w:rPr>
          <w:rFonts w:hint="eastAsia" w:ascii="楷体_GB2312" w:hAnsi="宋体" w:eastAsia="楷体_GB2312"/>
          <w:color w:val="auto"/>
          <w:sz w:val="24"/>
          <w:highlight w:val="none"/>
          <w:lang w:eastAsia="zh-CN"/>
        </w:rPr>
        <w:t>；</w:t>
      </w:r>
    </w:p>
    <w:p w14:paraId="2BE0D6C5">
      <w:pPr>
        <w:numPr>
          <w:ilvl w:val="0"/>
          <w:numId w:val="0"/>
        </w:numPr>
        <w:ind w:firstLine="480" w:firstLineChars="200"/>
        <w:rPr>
          <w:rFonts w:ascii="楷体_GB2312" w:hAnsi="宋体" w:eastAsia="楷体_GB2312"/>
          <w:color w:val="auto"/>
          <w:sz w:val="24"/>
          <w:highlight w:val="none"/>
          <w:lang w:eastAsia="zh-Hans"/>
        </w:rPr>
      </w:pPr>
      <w:r>
        <w:rPr>
          <w:rFonts w:hint="eastAsia" w:ascii="楷体_GB2312" w:hAnsi="宋体" w:eastAsia="楷体_GB2312"/>
          <w:color w:val="auto"/>
          <w:sz w:val="24"/>
          <w:highlight w:val="none"/>
          <w:lang w:val="en-US" w:eastAsia="zh-CN"/>
        </w:rPr>
        <w:t>2.</w:t>
      </w:r>
      <w:r>
        <w:rPr>
          <w:rFonts w:ascii="楷体_GB2312" w:hAnsi="宋体" w:eastAsia="楷体_GB2312"/>
          <w:color w:val="auto"/>
          <w:sz w:val="24"/>
          <w:highlight w:val="none"/>
          <w:lang w:eastAsia="zh-Hans"/>
        </w:rPr>
        <w:t>因市场成交量不足、资产限制赎回、暂停交易、缺乏意愿交易对手等原因</w:t>
      </w:r>
      <w:r>
        <w:rPr>
          <w:rFonts w:hint="eastAsia" w:ascii="楷体_GB2312" w:hAnsi="宋体" w:eastAsia="楷体_GB2312"/>
          <w:color w:val="auto"/>
          <w:sz w:val="24"/>
          <w:highlight w:val="none"/>
          <w:lang w:eastAsia="zh-Hans"/>
        </w:rPr>
        <w:t>，</w:t>
      </w:r>
      <w:r>
        <w:rPr>
          <w:rFonts w:ascii="楷体_GB2312" w:hAnsi="宋体" w:eastAsia="楷体_GB2312"/>
          <w:color w:val="auto"/>
          <w:sz w:val="24"/>
          <w:highlight w:val="none"/>
          <w:lang w:eastAsia="zh-Hans"/>
        </w:rPr>
        <w:t>导致</w:t>
      </w:r>
      <w:r>
        <w:rPr>
          <w:rFonts w:hint="eastAsia" w:ascii="楷体_GB2312" w:hAnsi="宋体" w:eastAsia="楷体_GB2312"/>
          <w:color w:val="auto"/>
          <w:sz w:val="24"/>
          <w:highlight w:val="none"/>
          <w:lang w:val="en-US" w:eastAsia="zh-CN"/>
        </w:rPr>
        <w:t>本理财</w:t>
      </w:r>
      <w:r>
        <w:rPr>
          <w:rFonts w:ascii="楷体_GB2312" w:hAnsi="宋体" w:eastAsia="楷体_GB2312"/>
          <w:color w:val="auto"/>
          <w:sz w:val="24"/>
          <w:highlight w:val="none"/>
          <w:lang w:eastAsia="zh-Hans"/>
        </w:rPr>
        <w:t>产品项下对应的投资标的无法及时变现;</w:t>
      </w:r>
    </w:p>
    <w:p w14:paraId="0E9C30F8">
      <w:pPr>
        <w:numPr>
          <w:ilvl w:val="0"/>
          <w:numId w:val="0"/>
        </w:numPr>
        <w:ind w:firstLine="480" w:firstLineChars="200"/>
        <w:rPr>
          <w:rFonts w:ascii="楷体_GB2312" w:hAnsi="宋体" w:eastAsia="楷体_GB2312"/>
          <w:color w:val="auto"/>
          <w:sz w:val="24"/>
          <w:highlight w:val="none"/>
          <w:lang w:eastAsia="zh-Hans"/>
        </w:rPr>
      </w:pPr>
      <w:r>
        <w:rPr>
          <w:rFonts w:hint="eastAsia" w:ascii="楷体_GB2312" w:hAnsi="宋体" w:eastAsia="楷体_GB2312"/>
          <w:color w:val="auto"/>
          <w:sz w:val="24"/>
          <w:highlight w:val="none"/>
          <w:lang w:val="en-US" w:eastAsia="zh-CN"/>
        </w:rPr>
        <w:t>3.</w:t>
      </w:r>
      <w:r>
        <w:rPr>
          <w:rFonts w:ascii="楷体_GB2312" w:hAnsi="宋体" w:eastAsia="楷体_GB2312"/>
          <w:color w:val="auto"/>
          <w:sz w:val="24"/>
          <w:highlight w:val="none"/>
          <w:lang w:eastAsia="zh-Hans"/>
        </w:rPr>
        <w:t>因资金在途等原因，导致未能及时收回资金;</w:t>
      </w:r>
    </w:p>
    <w:p w14:paraId="57D323C6">
      <w:pPr>
        <w:numPr>
          <w:ilvl w:val="0"/>
          <w:numId w:val="0"/>
        </w:numPr>
        <w:ind w:firstLine="480" w:firstLineChars="200"/>
        <w:rPr>
          <w:rFonts w:ascii="楷体_GB2312" w:hAnsi="宋体" w:eastAsia="楷体_GB2312"/>
          <w:color w:val="auto"/>
          <w:sz w:val="24"/>
          <w:highlight w:val="none"/>
          <w:lang w:eastAsia="zh-Hans"/>
        </w:rPr>
      </w:pPr>
      <w:r>
        <w:rPr>
          <w:rFonts w:hint="eastAsia" w:ascii="楷体_GB2312" w:hAnsi="宋体" w:eastAsia="楷体_GB2312"/>
          <w:color w:val="auto"/>
          <w:sz w:val="24"/>
          <w:highlight w:val="none"/>
          <w:lang w:val="en-US" w:eastAsia="zh-CN"/>
        </w:rPr>
        <w:t>4.</w:t>
      </w:r>
      <w:r>
        <w:rPr>
          <w:rFonts w:ascii="楷体_GB2312" w:hAnsi="宋体" w:eastAsia="楷体_GB2312"/>
          <w:color w:val="auto"/>
          <w:sz w:val="24"/>
          <w:highlight w:val="none"/>
          <w:lang w:eastAsia="zh-Hans"/>
        </w:rPr>
        <w:t>因不可抗力</w:t>
      </w:r>
      <w:r>
        <w:rPr>
          <w:rFonts w:hint="eastAsia" w:ascii="楷体_GB2312" w:hAnsi="宋体" w:eastAsia="楷体_GB2312"/>
          <w:color w:val="auto"/>
          <w:sz w:val="24"/>
          <w:highlight w:val="none"/>
          <w:lang w:val="en-US" w:eastAsia="zh-CN"/>
        </w:rPr>
        <w:t>及/或意外事件</w:t>
      </w:r>
      <w:r>
        <w:rPr>
          <w:rFonts w:ascii="楷体_GB2312" w:hAnsi="宋体" w:eastAsia="楷体_GB2312"/>
          <w:color w:val="auto"/>
          <w:sz w:val="24"/>
          <w:highlight w:val="none"/>
          <w:lang w:eastAsia="zh-Hans"/>
        </w:rPr>
        <w:t>等原因，导致产品管理人无法</w:t>
      </w:r>
      <w:r>
        <w:rPr>
          <w:rFonts w:hint="eastAsia" w:ascii="楷体_GB2312" w:hAnsi="宋体" w:eastAsia="楷体_GB2312"/>
          <w:color w:val="auto"/>
          <w:sz w:val="24"/>
          <w:highlight w:val="none"/>
          <w:lang w:val="en-US" w:eastAsia="zh-CN"/>
        </w:rPr>
        <w:t>及时</w:t>
      </w:r>
      <w:r>
        <w:rPr>
          <w:rFonts w:ascii="楷体_GB2312" w:hAnsi="宋体" w:eastAsia="楷体_GB2312"/>
          <w:color w:val="auto"/>
          <w:sz w:val="24"/>
          <w:highlight w:val="none"/>
          <w:lang w:eastAsia="zh-Hans"/>
        </w:rPr>
        <w:t>兑付;</w:t>
      </w:r>
    </w:p>
    <w:p w14:paraId="75225C2B">
      <w:pPr>
        <w:numPr>
          <w:ilvl w:val="0"/>
          <w:numId w:val="0"/>
        </w:numPr>
        <w:ind w:firstLine="480" w:firstLineChars="200"/>
        <w:rPr>
          <w:rFonts w:ascii="楷体_GB2312" w:hAnsi="宋体" w:eastAsia="楷体_GB2312"/>
          <w:color w:val="auto"/>
          <w:sz w:val="24"/>
          <w:highlight w:val="none"/>
          <w:lang w:eastAsia="zh-Hans"/>
        </w:rPr>
      </w:pPr>
      <w:r>
        <w:rPr>
          <w:rFonts w:hint="eastAsia" w:ascii="楷体_GB2312" w:hAnsi="宋体" w:eastAsia="楷体_GB2312"/>
          <w:color w:val="auto"/>
          <w:sz w:val="24"/>
          <w:highlight w:val="none"/>
          <w:lang w:val="en-US" w:eastAsia="zh-CN"/>
        </w:rPr>
        <w:t>5.</w:t>
      </w:r>
      <w:r>
        <w:rPr>
          <w:rFonts w:ascii="楷体_GB2312" w:hAnsi="宋体" w:eastAsia="楷体_GB2312"/>
          <w:color w:val="auto"/>
          <w:sz w:val="24"/>
          <w:highlight w:val="none"/>
          <w:lang w:eastAsia="zh-Hans"/>
        </w:rPr>
        <w:t>发生暂停理财产品估值情况;</w:t>
      </w:r>
    </w:p>
    <w:p w14:paraId="74E87E41">
      <w:pPr>
        <w:numPr>
          <w:ilvl w:val="0"/>
          <w:numId w:val="0"/>
        </w:numPr>
        <w:ind w:firstLine="480" w:firstLineChars="200"/>
        <w:rPr>
          <w:rFonts w:ascii="楷体_GB2312" w:hAnsi="宋体" w:eastAsia="楷体_GB2312"/>
          <w:color w:val="auto"/>
          <w:sz w:val="24"/>
          <w:highlight w:val="none"/>
          <w:lang w:eastAsia="zh-Hans"/>
        </w:rPr>
      </w:pPr>
      <w:r>
        <w:rPr>
          <w:rFonts w:hint="eastAsia" w:ascii="楷体_GB2312" w:hAnsi="宋体" w:eastAsia="楷体_GB2312"/>
          <w:color w:val="auto"/>
          <w:sz w:val="24"/>
          <w:highlight w:val="none"/>
          <w:lang w:val="en-US" w:eastAsia="zh-CN"/>
        </w:rPr>
        <w:t>6.</w:t>
      </w:r>
      <w:r>
        <w:rPr>
          <w:rFonts w:ascii="楷体_GB2312" w:hAnsi="宋体" w:eastAsia="楷体_GB2312"/>
          <w:color w:val="auto"/>
          <w:sz w:val="24"/>
          <w:highlight w:val="none"/>
          <w:lang w:eastAsia="zh-Hans"/>
        </w:rPr>
        <w:t>其他产品管理人</w:t>
      </w:r>
      <w:r>
        <w:rPr>
          <w:rFonts w:hint="eastAsia" w:ascii="楷体_GB2312" w:hAnsi="宋体" w:eastAsia="楷体_GB2312"/>
          <w:color w:val="auto"/>
          <w:sz w:val="24"/>
          <w:highlight w:val="none"/>
          <w:lang w:val="en-US" w:eastAsia="zh-CN"/>
        </w:rPr>
        <w:t>因合理理由</w:t>
      </w:r>
      <w:r>
        <w:rPr>
          <w:rFonts w:ascii="楷体_GB2312" w:hAnsi="宋体" w:eastAsia="楷体_GB2312"/>
          <w:color w:val="auto"/>
          <w:sz w:val="24"/>
          <w:highlight w:val="none"/>
          <w:lang w:eastAsia="zh-Hans"/>
        </w:rPr>
        <w:t>认为需要延迟兑付的情形。</w:t>
      </w:r>
    </w:p>
    <w:p w14:paraId="6B75B0F4">
      <w:pPr>
        <w:rPr>
          <w:rFonts w:ascii="楷体_GB2312" w:hAnsi="宋体" w:eastAsia="楷体_GB2312"/>
          <w:color w:val="auto"/>
          <w:sz w:val="24"/>
          <w:highlight w:val="none"/>
          <w:lang w:eastAsia="zh-Hans"/>
        </w:rPr>
      </w:pPr>
      <w:r>
        <w:rPr>
          <w:rFonts w:ascii="楷体_GB2312" w:hAnsi="宋体" w:eastAsia="楷体_GB2312"/>
          <w:color w:val="auto"/>
          <w:sz w:val="24"/>
          <w:highlight w:val="none"/>
          <w:lang w:eastAsia="zh-Hans"/>
        </w:rPr>
        <w:t xml:space="preserve">    产品管理人延迟兑付本理财产品的，应</w:t>
      </w:r>
      <w:r>
        <w:rPr>
          <w:rFonts w:hint="eastAsia" w:ascii="楷体_GB2312" w:hAnsi="宋体" w:eastAsia="楷体_GB2312"/>
          <w:color w:val="auto"/>
          <w:sz w:val="24"/>
          <w:highlight w:val="none"/>
          <w:lang w:val="en-US" w:eastAsia="zh-CN"/>
        </w:rPr>
        <w:t>提前</w:t>
      </w:r>
      <w:r>
        <w:rPr>
          <w:rFonts w:hint="default" w:ascii="楷体_GB2312" w:hAnsi="宋体" w:eastAsia="楷体_GB2312"/>
          <w:color w:val="auto"/>
          <w:sz w:val="24"/>
          <w:highlight w:val="none"/>
          <w:lang w:val="en-US" w:eastAsia="zh-CN"/>
        </w:rPr>
        <w:t>1</w:t>
      </w:r>
      <w:r>
        <w:rPr>
          <w:rFonts w:hint="eastAsia" w:ascii="楷体_GB2312" w:hAnsi="宋体" w:eastAsia="楷体_GB2312"/>
          <w:color w:val="auto"/>
          <w:sz w:val="24"/>
          <w:highlight w:val="none"/>
          <w:lang w:val="en-US" w:eastAsia="zh-CN"/>
        </w:rPr>
        <w:t>个工作日</w:t>
      </w:r>
      <w:r>
        <w:rPr>
          <w:rFonts w:hint="eastAsia" w:ascii="楷体_GB2312" w:hAnsi="宋体" w:eastAsia="楷体_GB2312"/>
          <w:color w:val="auto"/>
          <w:sz w:val="24"/>
          <w:highlight w:val="none"/>
        </w:rPr>
        <w:t>通过本理财产品</w:t>
      </w:r>
      <w:r>
        <w:rPr>
          <w:rFonts w:hint="eastAsia" w:ascii="楷体_GB2312" w:hAnsi="宋体" w:eastAsia="楷体_GB2312"/>
          <w:color w:val="auto"/>
          <w:sz w:val="24"/>
          <w:highlight w:val="none"/>
          <w:lang w:val="en-US" w:eastAsia="zh-CN"/>
        </w:rPr>
        <w:t>销售文件约定的</w:t>
      </w:r>
      <w:r>
        <w:rPr>
          <w:rFonts w:hint="eastAsia" w:ascii="楷体_GB2312" w:hAnsi="宋体" w:eastAsia="楷体_GB2312"/>
          <w:color w:val="auto"/>
          <w:sz w:val="24"/>
          <w:highlight w:val="none"/>
        </w:rPr>
        <w:t>信息披露渠道</w:t>
      </w:r>
      <w:r>
        <w:rPr>
          <w:rFonts w:ascii="楷体_GB2312" w:hAnsi="宋体" w:eastAsia="楷体_GB2312"/>
          <w:color w:val="auto"/>
          <w:sz w:val="24"/>
          <w:highlight w:val="none"/>
          <w:lang w:eastAsia="zh-Hans"/>
        </w:rPr>
        <w:t>进行公告。</w:t>
      </w:r>
    </w:p>
    <w:p w14:paraId="0F21D242">
      <w:pPr>
        <w:ind w:firstLine="480"/>
        <w:rPr>
          <w:rFonts w:ascii="楷体_GB2312" w:hAnsi="宋体" w:eastAsia="楷体_GB2312"/>
          <w:color w:val="auto"/>
          <w:sz w:val="24"/>
          <w:highlight w:val="none"/>
        </w:rPr>
      </w:pPr>
      <w:r>
        <w:rPr>
          <w:rFonts w:hint="eastAsia" w:ascii="楷体_GB2312" w:hAnsi="宋体" w:eastAsia="楷体_GB2312"/>
          <w:color w:val="auto"/>
          <w:sz w:val="24"/>
          <w:highlight w:val="none"/>
        </w:rPr>
        <w:t>（</w:t>
      </w:r>
      <w:r>
        <w:rPr>
          <w:rFonts w:hint="eastAsia" w:ascii="楷体_GB2312" w:hAnsi="宋体" w:eastAsia="楷体_GB2312"/>
          <w:color w:val="auto"/>
          <w:sz w:val="24"/>
          <w:highlight w:val="none"/>
          <w:lang w:eastAsia="zh-Hans"/>
        </w:rPr>
        <w:t>三</w:t>
      </w:r>
      <w:r>
        <w:rPr>
          <w:rFonts w:hint="eastAsia" w:ascii="楷体_GB2312" w:hAnsi="宋体" w:eastAsia="楷体_GB2312"/>
          <w:color w:val="auto"/>
          <w:sz w:val="24"/>
          <w:highlight w:val="none"/>
        </w:rPr>
        <w:t>）产品的清算</w:t>
      </w:r>
    </w:p>
    <w:p w14:paraId="58F77A56">
      <w:pPr>
        <w:ind w:firstLine="480"/>
        <w:rPr>
          <w:rFonts w:hint="eastAsia" w:ascii="楷体_GB2312" w:hAnsi="宋体" w:eastAsia="楷体_GB2312"/>
          <w:b w:val="0"/>
          <w:bCs w:val="0"/>
          <w:color w:val="000000"/>
          <w:sz w:val="24"/>
          <w:highlight w:val="none"/>
        </w:rPr>
      </w:pPr>
      <w:r>
        <w:rPr>
          <w:rFonts w:hint="eastAsia" w:ascii="楷体_GB2312" w:hAnsi="宋体" w:eastAsia="楷体_GB2312"/>
          <w:b w:val="0"/>
          <w:bCs w:val="0"/>
          <w:color w:val="000000"/>
          <w:sz w:val="24"/>
          <w:highlight w:val="none"/>
        </w:rPr>
        <w:t>1.产品管理人将</w:t>
      </w:r>
      <w:r>
        <w:rPr>
          <w:rFonts w:hint="eastAsia" w:ascii="楷体_GB2312" w:hAnsi="宋体" w:eastAsia="楷体_GB2312"/>
          <w:b w:val="0"/>
          <w:bCs w:val="0"/>
          <w:color w:val="000000"/>
          <w:sz w:val="24"/>
          <w:highlight w:val="none"/>
          <w:lang w:val="en-US" w:eastAsia="zh-CN"/>
        </w:rPr>
        <w:t>以</w:t>
      </w:r>
      <w:r>
        <w:rPr>
          <w:rFonts w:hint="eastAsia" w:ascii="楷体_GB2312" w:hAnsi="宋体" w:eastAsia="楷体_GB2312"/>
          <w:b w:val="0"/>
          <w:bCs w:val="0"/>
          <w:color w:val="000000"/>
          <w:sz w:val="24"/>
          <w:highlight w:val="none"/>
        </w:rPr>
        <w:t>终止日</w:t>
      </w:r>
      <w:r>
        <w:rPr>
          <w:rFonts w:hint="eastAsia" w:ascii="楷体_GB2312" w:hAnsi="宋体" w:eastAsia="楷体_GB2312"/>
          <w:b w:val="0"/>
          <w:bCs w:val="0"/>
          <w:color w:val="000000"/>
          <w:sz w:val="24"/>
          <w:highlight w:val="none"/>
          <w:lang w:val="en-US" w:eastAsia="zh-CN"/>
        </w:rPr>
        <w:t>的</w:t>
      </w:r>
      <w:r>
        <w:rPr>
          <w:rFonts w:hint="eastAsia" w:ascii="楷体_GB2312" w:hAnsi="宋体" w:eastAsia="楷体_GB2312"/>
          <w:b w:val="0"/>
          <w:bCs w:val="0"/>
          <w:color w:val="000000"/>
          <w:sz w:val="24"/>
          <w:highlight w:val="none"/>
        </w:rPr>
        <w:t>各类份额（如有）的产品资产净值按照投资者持有份额比例对投资者进行分配。</w:t>
      </w:r>
    </w:p>
    <w:p w14:paraId="5CB02CE3">
      <w:pPr>
        <w:ind w:firstLine="480"/>
        <w:rPr>
          <w:rFonts w:hint="eastAsia" w:ascii="楷体_GB2312" w:hAnsi="宋体" w:eastAsia="楷体_GB2312"/>
          <w:b w:val="0"/>
          <w:bCs w:val="0"/>
          <w:color w:val="000000"/>
          <w:sz w:val="24"/>
          <w:highlight w:val="none"/>
        </w:rPr>
      </w:pPr>
      <w:r>
        <w:rPr>
          <w:rFonts w:hint="eastAsia" w:ascii="楷体_GB2312" w:hAnsi="宋体" w:eastAsia="楷体_GB2312"/>
          <w:b w:val="0"/>
          <w:bCs w:val="0"/>
          <w:color w:val="000000"/>
          <w:sz w:val="24"/>
          <w:highlight w:val="none"/>
        </w:rPr>
        <w:t>投资者最后分配金额=∑投资者持有该类份额比例×产品存续期末该类份额的资产净值。</w:t>
      </w:r>
    </w:p>
    <w:p w14:paraId="0BB47A22">
      <w:pPr>
        <w:ind w:firstLine="480"/>
        <w:rPr>
          <w:rFonts w:hint="eastAsia" w:ascii="楷体_GB2312" w:hAnsi="宋体" w:eastAsia="楷体_GB2312"/>
          <w:b w:val="0"/>
          <w:bCs w:val="0"/>
          <w:color w:val="000000"/>
          <w:sz w:val="24"/>
          <w:highlight w:val="none"/>
        </w:rPr>
      </w:pPr>
      <w:r>
        <w:rPr>
          <w:rFonts w:hint="eastAsia" w:ascii="楷体_GB2312" w:hAnsi="宋体" w:eastAsia="楷体_GB2312"/>
          <w:b w:val="0"/>
          <w:bCs w:val="0"/>
          <w:color w:val="000000"/>
          <w:sz w:val="24"/>
          <w:highlight w:val="none"/>
        </w:rPr>
        <w:t>投资者持有该类份额比例=投资者持有该类份额÷产品该类份额总份额。</w:t>
      </w:r>
    </w:p>
    <w:p w14:paraId="231EFA2F">
      <w:pPr>
        <w:ind w:firstLine="480"/>
        <w:rPr>
          <w:rFonts w:hint="eastAsia" w:ascii="楷体_GB2312" w:hAnsi="宋体" w:eastAsia="楷体_GB2312"/>
          <w:b w:val="0"/>
          <w:bCs w:val="0"/>
          <w:color w:val="000000"/>
          <w:sz w:val="24"/>
          <w:highlight w:val="none"/>
        </w:rPr>
      </w:pPr>
      <w:r>
        <w:rPr>
          <w:rFonts w:hint="eastAsia" w:ascii="楷体_GB2312" w:hAnsi="宋体" w:eastAsia="楷体_GB2312"/>
          <w:b w:val="0"/>
          <w:bCs w:val="0"/>
          <w:color w:val="000000"/>
          <w:sz w:val="24"/>
          <w:highlight w:val="none"/>
        </w:rPr>
        <w:t>2.自本理财产品终止日（不含）至投资者理财本金及收益到账日（含）之间为本理财产品的清算期。清算期原则上不得超过5个工作日，清算期超过5个工作日的，本理财产品终止日前，产品管理人将提前1个工作日通过本理财产品销售文件约定的信息披露渠道发布相关信息公告通知投资者。本理财产品进入清算期后不再计算投资者收益。</w:t>
      </w:r>
    </w:p>
    <w:p w14:paraId="44620994">
      <w:pPr>
        <w:ind w:firstLine="480"/>
        <w:rPr>
          <w:rFonts w:ascii="楷体_GB2312" w:hAnsi="宋体" w:eastAsia="楷体_GB2312"/>
          <w:b/>
          <w:color w:val="000000"/>
          <w:sz w:val="24"/>
          <w:highlight w:val="none"/>
        </w:rPr>
      </w:pPr>
      <w:r>
        <w:rPr>
          <w:rFonts w:hint="eastAsia" w:ascii="楷体_GB2312" w:hAnsi="宋体" w:eastAsia="楷体_GB2312"/>
          <w:b w:val="0"/>
          <w:bCs w:val="0"/>
          <w:color w:val="000000"/>
          <w:sz w:val="24"/>
          <w:highlight w:val="none"/>
        </w:rPr>
        <w:t>★</w:t>
      </w:r>
      <w:r>
        <w:rPr>
          <w:rFonts w:hint="eastAsia" w:ascii="楷体_GB2312" w:hAnsi="宋体" w:eastAsia="楷体_GB2312"/>
          <w:b/>
          <w:color w:val="000000"/>
          <w:sz w:val="24"/>
          <w:highlight w:val="none"/>
          <w:lang w:val="en-US" w:eastAsia="zh-CN"/>
        </w:rPr>
        <w:t>八</w:t>
      </w:r>
      <w:r>
        <w:rPr>
          <w:rFonts w:hint="eastAsia" w:ascii="楷体_GB2312" w:hAnsi="宋体" w:eastAsia="楷体_GB2312"/>
          <w:b/>
          <w:color w:val="000000"/>
          <w:sz w:val="24"/>
          <w:highlight w:val="none"/>
        </w:rPr>
        <w:t>、产品的费用</w:t>
      </w:r>
    </w:p>
    <w:p w14:paraId="56412DA6">
      <w:pPr>
        <w:ind w:firstLine="480"/>
        <w:rPr>
          <w:rFonts w:ascii="楷体_GB2312" w:hAnsi="宋体" w:eastAsia="楷体_GB2312"/>
          <w:color w:val="000000"/>
          <w:sz w:val="24"/>
          <w:highlight w:val="none"/>
        </w:rPr>
      </w:pPr>
      <w:r>
        <w:rPr>
          <w:rFonts w:hint="eastAsia" w:ascii="楷体_GB2312" w:hAnsi="宋体" w:eastAsia="楷体_GB2312"/>
          <w:color w:val="000000"/>
          <w:sz w:val="24"/>
          <w:highlight w:val="none"/>
        </w:rPr>
        <w:t>（一）费用的种类</w:t>
      </w:r>
    </w:p>
    <w:p w14:paraId="12A414B4">
      <w:pPr>
        <w:ind w:firstLine="480"/>
        <w:rPr>
          <w:rFonts w:ascii="楷体_GB2312" w:hAnsi="宋体" w:eastAsia="楷体_GB2312"/>
          <w:color w:val="000000"/>
          <w:sz w:val="24"/>
          <w:highlight w:val="none"/>
        </w:rPr>
      </w:pPr>
      <w:r>
        <w:rPr>
          <w:rFonts w:hint="eastAsia" w:ascii="楷体_GB2312" w:hAnsi="宋体" w:eastAsia="楷体_GB2312"/>
          <w:color w:val="000000"/>
          <w:sz w:val="24"/>
          <w:highlight w:val="none"/>
          <w:lang w:eastAsia="zh-CN"/>
        </w:rPr>
        <w:t>本理财产品</w:t>
      </w:r>
      <w:r>
        <w:rPr>
          <w:rFonts w:hint="eastAsia" w:ascii="楷体_GB2312" w:hAnsi="宋体" w:eastAsia="楷体_GB2312"/>
          <w:color w:val="000000"/>
          <w:sz w:val="24"/>
          <w:highlight w:val="none"/>
        </w:rPr>
        <w:t>的费用包括销售手续费、固定管理费、托管费</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超额业绩报酬</w:t>
      </w:r>
      <w:r>
        <w:rPr>
          <w:rFonts w:hint="eastAsia" w:ascii="楷体_GB2312" w:hAnsi="宋体" w:eastAsia="楷体_GB2312"/>
          <w:color w:val="000000"/>
          <w:sz w:val="24"/>
          <w:highlight w:val="none"/>
        </w:rPr>
        <w:t>以及应当在理财财产中列支的其他费用。</w:t>
      </w:r>
    </w:p>
    <w:p w14:paraId="23D5FFC0">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（二）费用计提方法、计提标准和支付方式</w:t>
      </w:r>
    </w:p>
    <w:p w14:paraId="58D62CD7">
      <w:pPr>
        <w:ind w:firstLine="480" w:firstLineChars="200"/>
        <w:rPr>
          <w:rFonts w:ascii="楷体_GB2312" w:hAnsi="宋体" w:eastAsia="楷体_GB2312"/>
          <w:b/>
          <w:bCs/>
          <w:color w:val="000000"/>
          <w:sz w:val="24"/>
          <w:highlight w:val="none"/>
        </w:rPr>
      </w:pPr>
      <w:r>
        <w:rPr>
          <w:rFonts w:hint="eastAsia" w:ascii="楷体_GB2312" w:hAnsi="宋体" w:eastAsia="楷体_GB2312"/>
          <w:b w:val="0"/>
          <w:bCs w:val="0"/>
          <w:color w:val="000000"/>
          <w:sz w:val="24"/>
          <w:highlight w:val="none"/>
        </w:rPr>
        <w:t>★</w:t>
      </w:r>
      <w:r>
        <w:rPr>
          <w:rFonts w:hint="eastAsia" w:ascii="楷体_GB2312" w:hAnsi="宋体" w:eastAsia="楷体_GB2312"/>
          <w:b/>
          <w:bCs/>
          <w:color w:val="000000"/>
          <w:sz w:val="24"/>
          <w:highlight w:val="none"/>
        </w:rPr>
        <w:t>1.销售手续费</w:t>
      </w:r>
    </w:p>
    <w:p w14:paraId="58A8B47D">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理财财产的销售手续费计算方法如下：</w:t>
      </w:r>
    </w:p>
    <w:p w14:paraId="195971E8">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H＝E×【各类份额的年销售手续费率】%÷365</w:t>
      </w:r>
    </w:p>
    <w:p w14:paraId="07CF386C">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H为每日应计提的销售手续费。</w:t>
      </w:r>
    </w:p>
    <w:p w14:paraId="01C5A20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E为本理财产品前一日</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资产净值。</w:t>
      </w:r>
    </w:p>
    <w:p w14:paraId="58E6C8EC">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销售手续费原则上按日计提，由</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与</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托管</w:t>
      </w:r>
      <w:r>
        <w:rPr>
          <w:rFonts w:hint="eastAsia" w:ascii="楷体_GB2312" w:hAnsi="宋体" w:eastAsia="楷体_GB2312"/>
          <w:color w:val="000000"/>
          <w:sz w:val="24"/>
          <w:highlight w:val="none"/>
          <w:lang w:val="en-US" w:eastAsia="zh-CN"/>
        </w:rPr>
        <w:t>人</w:t>
      </w:r>
      <w:r>
        <w:rPr>
          <w:rFonts w:hint="eastAsia" w:ascii="楷体_GB2312" w:hAnsi="宋体" w:eastAsia="楷体_GB2312"/>
          <w:color w:val="000000"/>
          <w:sz w:val="24"/>
          <w:highlight w:val="none"/>
        </w:rPr>
        <w:t>核对一致，</w:t>
      </w:r>
      <w:r>
        <w:rPr>
          <w:rFonts w:hint="eastAsia" w:ascii="楷体_GB2312" w:hAnsi="宋体" w:eastAsia="楷体_GB2312"/>
          <w:b/>
          <w:bCs/>
          <w:color w:val="000000"/>
          <w:sz w:val="24"/>
          <w:highlight w:val="none"/>
        </w:rPr>
        <w:t>从理财财产中定期支付给</w:t>
      </w:r>
      <w:r>
        <w:rPr>
          <w:rFonts w:hint="eastAsia" w:ascii="楷体_GB2312" w:hAnsi="宋体" w:eastAsia="楷体_GB2312"/>
          <w:b/>
          <w:bCs/>
          <w:color w:val="000000"/>
          <w:sz w:val="24"/>
          <w:highlight w:val="none"/>
          <w:lang w:val="en-US" w:eastAsia="zh-CN"/>
        </w:rPr>
        <w:t>本</w:t>
      </w:r>
      <w:r>
        <w:rPr>
          <w:rFonts w:hint="eastAsia" w:ascii="楷体_GB2312" w:hAnsi="宋体" w:eastAsia="楷体_GB2312"/>
          <w:b/>
          <w:bCs/>
          <w:color w:val="000000"/>
          <w:sz w:val="24"/>
          <w:highlight w:val="none"/>
        </w:rPr>
        <w:t>理财</w:t>
      </w:r>
      <w:r>
        <w:rPr>
          <w:rFonts w:hint="eastAsia" w:ascii="楷体_GB2312" w:hAnsi="宋体" w:eastAsia="楷体_GB2312"/>
          <w:b/>
          <w:bCs/>
          <w:color w:val="000000"/>
          <w:sz w:val="24"/>
          <w:highlight w:val="none"/>
          <w:lang w:val="en-US" w:eastAsia="zh-CN"/>
        </w:rPr>
        <w:t>产品代理</w:t>
      </w:r>
      <w:r>
        <w:rPr>
          <w:rFonts w:hint="eastAsia" w:ascii="楷体_GB2312" w:hAnsi="宋体" w:eastAsia="楷体_GB2312"/>
          <w:b/>
          <w:bCs/>
          <w:color w:val="000000"/>
          <w:sz w:val="24"/>
          <w:highlight w:val="none"/>
        </w:rPr>
        <w:t>销售机构。</w:t>
      </w:r>
    </w:p>
    <w:p w14:paraId="6AECDE63">
      <w:pPr>
        <w:ind w:firstLine="480" w:firstLineChars="200"/>
        <w:rPr>
          <w:rFonts w:ascii="楷体_GB2312" w:hAnsi="宋体" w:eastAsia="楷体_GB2312"/>
          <w:b/>
          <w:bCs/>
          <w:color w:val="000000"/>
          <w:sz w:val="24"/>
          <w:highlight w:val="none"/>
        </w:rPr>
      </w:pPr>
      <w:r>
        <w:rPr>
          <w:rFonts w:hint="eastAsia" w:ascii="楷体_GB2312" w:hAnsi="宋体" w:eastAsia="楷体_GB2312"/>
          <w:b w:val="0"/>
          <w:bCs w:val="0"/>
          <w:color w:val="000000"/>
          <w:sz w:val="24"/>
          <w:highlight w:val="none"/>
        </w:rPr>
        <w:t>★</w:t>
      </w:r>
      <w:r>
        <w:rPr>
          <w:rFonts w:hint="eastAsia" w:ascii="楷体_GB2312" w:hAnsi="宋体" w:eastAsia="楷体_GB2312"/>
          <w:b/>
          <w:bCs/>
          <w:color w:val="000000"/>
          <w:sz w:val="24"/>
          <w:highlight w:val="none"/>
        </w:rPr>
        <w:t>2.固定管理费</w:t>
      </w:r>
    </w:p>
    <w:p w14:paraId="6E1F4BC4">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理财财产的固定管理费计算方法如下：</w:t>
      </w:r>
    </w:p>
    <w:p w14:paraId="2FF11F85">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H＝E×【年固定管理费率】%÷365</w:t>
      </w:r>
    </w:p>
    <w:p w14:paraId="4973F7AD">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H为每日应计提的</w:t>
      </w:r>
      <w:r>
        <w:rPr>
          <w:rFonts w:hint="eastAsia" w:ascii="楷体_GB2312" w:hAnsi="宋体" w:eastAsia="楷体_GB2312"/>
          <w:color w:val="000000"/>
          <w:sz w:val="24"/>
          <w:highlight w:val="none"/>
          <w:lang w:val="en-US" w:eastAsia="zh-CN"/>
        </w:rPr>
        <w:t>固定</w:t>
      </w:r>
      <w:r>
        <w:rPr>
          <w:rFonts w:hint="eastAsia" w:ascii="楷体_GB2312" w:hAnsi="宋体" w:eastAsia="楷体_GB2312"/>
          <w:color w:val="000000"/>
          <w:sz w:val="24"/>
          <w:highlight w:val="none"/>
        </w:rPr>
        <w:t>管理费。</w:t>
      </w:r>
    </w:p>
    <w:p w14:paraId="7574AA37">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E为本理财产品前一日</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资产净值。</w:t>
      </w:r>
    </w:p>
    <w:p w14:paraId="463059A5">
      <w:pPr>
        <w:ind w:firstLine="480" w:firstLineChars="200"/>
        <w:rPr>
          <w:rFonts w:hint="eastAsia" w:ascii="楷体_GB2312" w:hAnsi="宋体" w:eastAsia="楷体_GB2312"/>
          <w:b/>
          <w:bCs/>
          <w:color w:val="000000"/>
          <w:sz w:val="24"/>
          <w:highlight w:val="none"/>
        </w:rPr>
      </w:pPr>
      <w:r>
        <w:rPr>
          <w:rFonts w:hint="eastAsia" w:ascii="楷体_GB2312" w:hAnsi="宋体" w:eastAsia="楷体_GB2312"/>
          <w:color w:val="auto"/>
          <w:sz w:val="24"/>
          <w:highlight w:val="none"/>
        </w:rPr>
        <w:t>固定管理费原则上按日计提</w:t>
      </w:r>
      <w:r>
        <w:rPr>
          <w:rFonts w:hint="eastAsia" w:ascii="楷体_GB2312" w:hAnsi="宋体" w:eastAsia="楷体_GB2312"/>
          <w:color w:val="auto"/>
          <w:sz w:val="24"/>
          <w:highlight w:val="none"/>
          <w:lang w:eastAsia="zh-CN"/>
        </w:rPr>
        <w:t>，</w:t>
      </w:r>
      <w:r>
        <w:rPr>
          <w:rFonts w:hint="eastAsia" w:ascii="楷体_GB2312" w:hAnsi="宋体" w:eastAsia="楷体_GB2312"/>
          <w:b w:val="0"/>
          <w:bCs w:val="0"/>
          <w:color w:val="000000"/>
          <w:sz w:val="24"/>
          <w:highlight w:val="none"/>
        </w:rPr>
        <w:t>由产品管理人与产品托管人核对一致，</w:t>
      </w:r>
      <w:r>
        <w:rPr>
          <w:rFonts w:hint="eastAsia" w:ascii="楷体_GB2312" w:hAnsi="宋体" w:eastAsia="楷体_GB2312"/>
          <w:b/>
          <w:bCs/>
          <w:color w:val="000000"/>
          <w:sz w:val="24"/>
          <w:highlight w:val="none"/>
        </w:rPr>
        <w:t>从理财财产中定期支付给产品管理人。</w:t>
      </w:r>
    </w:p>
    <w:p w14:paraId="22212F87">
      <w:pPr>
        <w:ind w:firstLine="482" w:firstLineChars="200"/>
        <w:rPr>
          <w:rFonts w:ascii="楷体_GB2312" w:hAnsi="宋体" w:eastAsia="楷体_GB2312"/>
          <w:b/>
          <w:bCs/>
          <w:color w:val="000000"/>
          <w:sz w:val="24"/>
          <w:highlight w:val="none"/>
        </w:rPr>
      </w:pPr>
      <w:r>
        <w:rPr>
          <w:rFonts w:hint="eastAsia" w:ascii="楷体_GB2312" w:hAnsi="宋体" w:eastAsia="楷体_GB2312"/>
          <w:b/>
          <w:bCs/>
          <w:color w:val="000000"/>
          <w:sz w:val="24"/>
          <w:highlight w:val="none"/>
        </w:rPr>
        <w:t>★3.托管费</w:t>
      </w:r>
    </w:p>
    <w:p w14:paraId="43334408">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理财财产的托管费计算方法如下：</w:t>
      </w:r>
    </w:p>
    <w:p w14:paraId="1676498B">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H＝E×【年托管费率】%÷365</w:t>
      </w:r>
    </w:p>
    <w:p w14:paraId="2F0D5805">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H为每日应计提的托管费。</w:t>
      </w:r>
    </w:p>
    <w:p w14:paraId="49D910AD">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E为本理财产品前一日</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资产净值。</w:t>
      </w:r>
    </w:p>
    <w:p w14:paraId="39EF737F">
      <w:pPr>
        <w:ind w:firstLine="480" w:firstLineChars="200"/>
        <w:rPr>
          <w:rFonts w:hint="eastAsia" w:ascii="楷体_GB2312" w:hAnsi="宋体" w:eastAsia="楷体_GB2312"/>
          <w:b/>
          <w:bCs/>
          <w:color w:val="000000"/>
          <w:sz w:val="24"/>
          <w:highlight w:val="none"/>
        </w:rPr>
      </w:pPr>
      <w:r>
        <w:rPr>
          <w:rFonts w:hint="eastAsia" w:ascii="楷体_GB2312" w:hAnsi="宋体" w:eastAsia="楷体_GB2312"/>
          <w:color w:val="000000"/>
          <w:sz w:val="24"/>
          <w:highlight w:val="none"/>
        </w:rPr>
        <w:t>托管费原则上按日计提，由</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与</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托管</w:t>
      </w:r>
      <w:r>
        <w:rPr>
          <w:rFonts w:hint="eastAsia" w:ascii="楷体_GB2312" w:hAnsi="宋体" w:eastAsia="楷体_GB2312"/>
          <w:color w:val="000000"/>
          <w:sz w:val="24"/>
          <w:highlight w:val="none"/>
          <w:lang w:eastAsia="zh-CN"/>
        </w:rPr>
        <w:t>人</w:t>
      </w:r>
      <w:r>
        <w:rPr>
          <w:rFonts w:hint="eastAsia" w:ascii="楷体_GB2312" w:hAnsi="宋体" w:eastAsia="楷体_GB2312"/>
          <w:color w:val="000000"/>
          <w:sz w:val="24"/>
          <w:highlight w:val="none"/>
        </w:rPr>
        <w:t>核对一致，</w:t>
      </w:r>
      <w:r>
        <w:rPr>
          <w:rFonts w:hint="eastAsia" w:ascii="楷体_GB2312" w:hAnsi="宋体" w:eastAsia="楷体_GB2312"/>
          <w:b/>
          <w:bCs/>
          <w:color w:val="000000"/>
          <w:sz w:val="24"/>
          <w:highlight w:val="none"/>
        </w:rPr>
        <w:t>从理财财产中定期支付给</w:t>
      </w:r>
      <w:r>
        <w:rPr>
          <w:rFonts w:hint="eastAsia" w:ascii="楷体_GB2312" w:hAnsi="宋体" w:eastAsia="楷体_GB2312"/>
          <w:b/>
          <w:bCs/>
          <w:color w:val="000000"/>
          <w:sz w:val="24"/>
          <w:highlight w:val="none"/>
          <w:lang w:val="en-US" w:eastAsia="zh-CN"/>
        </w:rPr>
        <w:t>产品</w:t>
      </w:r>
      <w:r>
        <w:rPr>
          <w:rFonts w:hint="eastAsia" w:ascii="楷体_GB2312" w:hAnsi="宋体" w:eastAsia="楷体_GB2312"/>
          <w:b/>
          <w:bCs/>
          <w:color w:val="000000"/>
          <w:sz w:val="24"/>
          <w:highlight w:val="none"/>
        </w:rPr>
        <w:t>托管</w:t>
      </w:r>
      <w:r>
        <w:rPr>
          <w:rFonts w:hint="eastAsia" w:ascii="楷体_GB2312" w:hAnsi="宋体" w:eastAsia="楷体_GB2312"/>
          <w:b/>
          <w:bCs/>
          <w:color w:val="000000"/>
          <w:sz w:val="24"/>
          <w:highlight w:val="none"/>
          <w:lang w:eastAsia="zh-CN"/>
        </w:rPr>
        <w:t>人</w:t>
      </w:r>
      <w:r>
        <w:rPr>
          <w:rFonts w:hint="eastAsia" w:ascii="楷体_GB2312" w:hAnsi="宋体" w:eastAsia="楷体_GB2312"/>
          <w:b/>
          <w:bCs/>
          <w:color w:val="000000"/>
          <w:sz w:val="24"/>
          <w:highlight w:val="none"/>
        </w:rPr>
        <w:t>。</w:t>
      </w:r>
    </w:p>
    <w:p w14:paraId="0D32518D">
      <w:pPr>
        <w:ind w:firstLine="482" w:firstLineChars="200"/>
        <w:rPr>
          <w:rFonts w:hint="eastAsia" w:ascii="楷体_GB2312" w:hAnsi="宋体" w:eastAsia="楷体_GB2312" w:cs="Times New Roman"/>
          <w:b/>
          <w:bCs/>
          <w:color w:val="000000"/>
          <w:sz w:val="24"/>
          <w:highlight w:val="none"/>
          <w:lang w:val="en-US" w:eastAsia="zh-CN"/>
        </w:rPr>
      </w:pPr>
      <w:r>
        <w:rPr>
          <w:rFonts w:hint="eastAsia" w:ascii="楷体_GB2312" w:hAnsi="宋体" w:eastAsia="楷体_GB2312"/>
          <w:b/>
          <w:bCs/>
          <w:color w:val="000000"/>
          <w:sz w:val="24"/>
          <w:highlight w:val="none"/>
        </w:rPr>
        <w:t>★</w:t>
      </w:r>
      <w:r>
        <w:rPr>
          <w:rFonts w:hint="eastAsia" w:ascii="楷体_GB2312" w:hAnsi="宋体" w:eastAsia="楷体_GB2312"/>
          <w:b/>
          <w:bCs/>
          <w:color w:val="000000"/>
          <w:sz w:val="24"/>
          <w:highlight w:val="none"/>
          <w:lang w:val="en-US" w:eastAsia="zh-CN"/>
        </w:rPr>
        <w:t>4.</w:t>
      </w:r>
      <w:r>
        <w:rPr>
          <w:rFonts w:hint="eastAsia" w:ascii="楷体_GB2312" w:hAnsi="宋体" w:eastAsia="楷体_GB2312" w:cs="Times New Roman"/>
          <w:b/>
          <w:bCs/>
          <w:color w:val="000000"/>
          <w:sz w:val="24"/>
          <w:highlight w:val="none"/>
          <w:lang w:val="en-US" w:eastAsia="zh-CN"/>
        </w:rPr>
        <w:t>超额业绩报酬</w:t>
      </w:r>
    </w:p>
    <w:p w14:paraId="120E3EDD">
      <w:pPr>
        <w:ind w:firstLine="480" w:firstLineChars="200"/>
        <w:jc w:val="left"/>
        <w:rPr>
          <w:rFonts w:hint="default" w:ascii="楷体_GB2312" w:hAnsi="宋体" w:eastAsia="楷体_GB2312"/>
          <w:color w:val="auto"/>
          <w:sz w:val="24"/>
          <w:highlight w:val="none"/>
          <w:lang w:val="en-US" w:eastAsia="zh-CN"/>
        </w:rPr>
      </w:pPr>
      <w:r>
        <w:rPr>
          <w:rFonts w:hint="eastAsia" w:ascii="楷体_GB2312" w:hAnsi="宋体" w:eastAsia="楷体_GB2312" w:cs="Times New Roman"/>
          <w:color w:val="000000"/>
          <w:sz w:val="24"/>
          <w:highlight w:val="none"/>
        </w:rPr>
        <w:t>产品管理人根据理财投资情况计算超额业绩报酬，由产品管理人确定本理财产品的业绩比较基准，超过业绩比较基准</w:t>
      </w:r>
      <w:r>
        <w:rPr>
          <w:rFonts w:hint="eastAsia" w:ascii="楷体_GB2312" w:hAnsi="宋体" w:eastAsia="楷体_GB2312" w:cs="Times New Roman"/>
          <w:color w:val="000000"/>
          <w:sz w:val="24"/>
          <w:highlight w:val="none"/>
          <w:lang w:val="en-US" w:eastAsia="zh-CN"/>
        </w:rPr>
        <w:t>区间上限</w:t>
      </w:r>
      <w:r>
        <w:rPr>
          <w:rFonts w:hint="eastAsia" w:ascii="楷体_GB2312" w:hAnsi="宋体" w:eastAsia="楷体_GB2312" w:cs="Times New Roman"/>
          <w:color w:val="000000"/>
          <w:sz w:val="24"/>
          <w:highlight w:val="none"/>
        </w:rPr>
        <w:t>的部分产品管理人提取</w:t>
      </w:r>
      <w:r>
        <w:rPr>
          <w:rFonts w:hint="eastAsia" w:ascii="楷体_GB2312" w:hAnsi="宋体" w:eastAsia="楷体_GB2312" w:cs="Times New Roman"/>
          <w:color w:val="auto"/>
          <w:sz w:val="24"/>
          <w:highlight w:val="none"/>
          <w:lang w:val="en-US" w:eastAsia="zh-CN"/>
        </w:rPr>
        <w:t>8</w:t>
      </w:r>
      <w:r>
        <w:rPr>
          <w:rFonts w:hint="eastAsia" w:ascii="楷体_GB2312" w:hAnsi="宋体" w:eastAsia="楷体_GB2312" w:cs="Times New Roman"/>
          <w:color w:val="auto"/>
          <w:sz w:val="24"/>
          <w:highlight w:val="none"/>
        </w:rPr>
        <w:t>0%</w:t>
      </w:r>
      <w:r>
        <w:rPr>
          <w:rFonts w:hint="eastAsia" w:ascii="楷体_GB2312" w:hAnsi="宋体" w:eastAsia="楷体_GB2312" w:cs="Times New Roman"/>
          <w:color w:val="000000"/>
          <w:sz w:val="24"/>
          <w:highlight w:val="none"/>
        </w:rPr>
        <w:t>作为超额业绩报酬</w:t>
      </w:r>
      <w:r>
        <w:rPr>
          <w:rFonts w:hint="eastAsia" w:ascii="楷体_GB2312" w:hAnsi="宋体" w:eastAsia="楷体_GB2312" w:cs="Times New Roman"/>
          <w:color w:val="000000"/>
          <w:sz w:val="24"/>
          <w:highlight w:val="none"/>
          <w:lang w:val="en-US" w:eastAsia="zh-CN"/>
        </w:rPr>
        <w:t>。</w:t>
      </w:r>
      <w:r>
        <w:rPr>
          <w:rFonts w:hint="default" w:ascii="楷体_GB2312" w:hAnsi="宋体" w:eastAsia="楷体_GB2312"/>
          <w:color w:val="auto"/>
          <w:sz w:val="24"/>
          <w:highlight w:val="none"/>
          <w:lang w:val="en-US" w:eastAsia="zh-CN"/>
        </w:rPr>
        <w:t>超额业绩报酬由产品管理人负责计算，产品托管人承担复核义务。由产品托管人根据与产品管理人核对一致的财务数据，按照产品管理人出具的划款指令或者其他双方协商一致的方式进行资金支付。</w:t>
      </w:r>
    </w:p>
    <w:p w14:paraId="5B78F99A">
      <w:pPr>
        <w:ind w:firstLine="482" w:firstLineChars="200"/>
        <w:jc w:val="left"/>
        <w:rPr>
          <w:rFonts w:hint="eastAsia" w:ascii="楷体_GB2312" w:hAnsi="宋体" w:eastAsia="楷体_GB2312" w:cs="Times New Roman"/>
          <w:color w:val="000000"/>
          <w:sz w:val="24"/>
          <w:highlight w:val="none"/>
          <w:lang w:val="en-US" w:eastAsia="zh-CN"/>
        </w:rPr>
      </w:pPr>
      <w:r>
        <w:rPr>
          <w:rFonts w:hint="default" w:ascii="楷体_GB2312" w:hAnsi="宋体" w:eastAsia="楷体_GB2312"/>
          <w:b/>
          <w:bCs/>
          <w:color w:val="auto"/>
          <w:sz w:val="24"/>
          <w:highlight w:val="none"/>
          <w:lang w:val="en-US" w:eastAsia="zh-CN"/>
        </w:rPr>
        <w:t>★超额业绩报酬按每日暂估，暂估金额仅用于本理财产品的会计核算和估值日估值。产品管理人将扣除暂估超额业绩报酬后的产品单位净值按照《理财产品说明书》相关约定定期向投资者进行披露。本理财产品实际的超额业绩报酬最终以到期日/终止日计提核算的数值为准</w:t>
      </w:r>
      <w:r>
        <w:rPr>
          <w:rFonts w:hint="eastAsia" w:ascii="楷体_GB2312" w:hAnsi="宋体" w:eastAsia="楷体_GB2312"/>
          <w:b/>
          <w:bCs/>
          <w:color w:val="auto"/>
          <w:sz w:val="24"/>
          <w:highlight w:val="none"/>
        </w:rPr>
        <w:t>。</w:t>
      </w:r>
    </w:p>
    <w:p w14:paraId="10CA483C">
      <w:pPr>
        <w:ind w:firstLine="480" w:firstLineChars="200"/>
        <w:rPr>
          <w:rFonts w:ascii="楷体_GB2312" w:hAnsi="宋体" w:eastAsia="楷体_GB2312"/>
          <w:b/>
          <w:bCs/>
          <w:color w:val="000000"/>
          <w:sz w:val="24"/>
          <w:highlight w:val="none"/>
        </w:rPr>
      </w:pPr>
      <w:r>
        <w:rPr>
          <w:rFonts w:hint="eastAsia" w:ascii="楷体_GB2312" w:hAnsi="宋体" w:eastAsia="楷体_GB2312"/>
          <w:b w:val="0"/>
          <w:bCs w:val="0"/>
          <w:color w:val="000000"/>
          <w:sz w:val="24"/>
          <w:highlight w:val="none"/>
        </w:rPr>
        <w:t>★</w:t>
      </w:r>
      <w:r>
        <w:rPr>
          <w:rFonts w:hint="default" w:ascii="楷体_GB2312" w:hAnsi="宋体" w:eastAsia="楷体_GB2312"/>
          <w:b/>
          <w:bCs/>
          <w:color w:val="000000"/>
          <w:sz w:val="24"/>
          <w:highlight w:val="none"/>
          <w:lang w:val="en-US"/>
        </w:rPr>
        <w:t>5.</w:t>
      </w:r>
      <w:r>
        <w:rPr>
          <w:rFonts w:hint="eastAsia" w:ascii="楷体_GB2312" w:hAnsi="宋体" w:eastAsia="楷体_GB2312"/>
          <w:b/>
          <w:bCs/>
          <w:color w:val="000000"/>
          <w:sz w:val="24"/>
          <w:highlight w:val="none"/>
        </w:rPr>
        <w:t>其他费用</w:t>
      </w:r>
    </w:p>
    <w:p w14:paraId="1136886E">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（1）管理成本费用：为本理财产品</w:t>
      </w:r>
      <w:r>
        <w:rPr>
          <w:rFonts w:hint="eastAsia" w:ascii="楷体_GB2312" w:hAnsi="宋体" w:eastAsia="楷体_GB2312"/>
          <w:color w:val="000000"/>
          <w:sz w:val="24"/>
          <w:highlight w:val="none"/>
          <w:lang w:val="en-US" w:eastAsia="zh-CN"/>
        </w:rPr>
        <w:t>项</w:t>
      </w:r>
      <w:r>
        <w:rPr>
          <w:rFonts w:hint="eastAsia" w:ascii="楷体_GB2312" w:hAnsi="宋体" w:eastAsia="楷体_GB2312"/>
          <w:color w:val="000000"/>
          <w:sz w:val="24"/>
          <w:highlight w:val="none"/>
        </w:rPr>
        <w:t>下投资交易提供专属信托、保管、托管、咨询、顾问、管理等服务所产生的费用(如</w:t>
      </w:r>
      <w:r>
        <w:rPr>
          <w:rFonts w:hint="eastAsia" w:ascii="楷体_GB2312" w:hAnsi="宋体" w:eastAsia="楷体_GB2312"/>
          <w:color w:val="000000"/>
          <w:sz w:val="24"/>
          <w:highlight w:val="none"/>
          <w:lang w:val="en-US" w:eastAsia="zh-CN"/>
        </w:rPr>
        <w:t>基金管理费、</w:t>
      </w:r>
      <w:r>
        <w:rPr>
          <w:rFonts w:hint="eastAsia" w:ascii="楷体_GB2312" w:hAnsi="宋体" w:eastAsia="楷体_GB2312"/>
          <w:color w:val="000000"/>
          <w:sz w:val="24"/>
          <w:highlight w:val="none"/>
        </w:rPr>
        <w:t>投资顾问费、信托保管费、信托报酬、各类信托费用等)和支出均属于</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理财产品的</w:t>
      </w:r>
      <w:r>
        <w:rPr>
          <w:rFonts w:hint="eastAsia" w:ascii="楷体_GB2312" w:hAnsi="宋体" w:eastAsia="楷体_GB2312"/>
          <w:color w:val="000000"/>
          <w:sz w:val="24"/>
          <w:highlight w:val="none"/>
          <w:lang w:val="en-US" w:eastAsia="zh-CN"/>
        </w:rPr>
        <w:t>管理</w:t>
      </w:r>
      <w:r>
        <w:rPr>
          <w:rFonts w:hint="eastAsia" w:ascii="楷体_GB2312" w:hAnsi="宋体" w:eastAsia="楷体_GB2312"/>
          <w:color w:val="000000"/>
          <w:sz w:val="24"/>
          <w:highlight w:val="none"/>
        </w:rPr>
        <w:t>成本费用，由相关机构(包括但不限于</w:t>
      </w:r>
      <w:r>
        <w:rPr>
          <w:rFonts w:hint="eastAsia" w:ascii="楷体_GB2312" w:hAnsi="宋体" w:eastAsia="楷体_GB2312"/>
          <w:color w:val="000000"/>
          <w:sz w:val="24"/>
          <w:highlight w:val="none"/>
          <w:lang w:val="en-US" w:eastAsia="zh-CN"/>
        </w:rPr>
        <w:t>基金公司、</w:t>
      </w:r>
      <w:r>
        <w:rPr>
          <w:rFonts w:hint="eastAsia" w:ascii="楷体_GB2312" w:hAnsi="宋体" w:eastAsia="楷体_GB2312"/>
          <w:color w:val="000000"/>
          <w:sz w:val="24"/>
          <w:highlight w:val="none"/>
        </w:rPr>
        <w:t>信托公司、保管银行等)依照相关法律文件(包括但不限于</w:t>
      </w:r>
      <w:r>
        <w:rPr>
          <w:rFonts w:hint="eastAsia" w:ascii="楷体_GB2312" w:hAnsi="宋体" w:eastAsia="楷体_GB2312"/>
          <w:color w:val="000000"/>
          <w:sz w:val="24"/>
          <w:highlight w:val="none"/>
          <w:lang w:val="en-US" w:eastAsia="zh-CN"/>
        </w:rPr>
        <w:t>基金合同、</w:t>
      </w:r>
      <w:r>
        <w:rPr>
          <w:rFonts w:hint="eastAsia" w:ascii="楷体_GB2312" w:hAnsi="宋体" w:eastAsia="楷体_GB2312"/>
          <w:color w:val="000000"/>
          <w:sz w:val="24"/>
          <w:highlight w:val="none"/>
        </w:rPr>
        <w:t>信托合同、保管合同、顾问协议等)约定的标准和条件</w:t>
      </w:r>
      <w:r>
        <w:rPr>
          <w:rFonts w:hint="eastAsia" w:ascii="楷体_GB2312" w:hAnsi="宋体" w:eastAsia="楷体_GB2312"/>
          <w:color w:val="000000"/>
          <w:sz w:val="24"/>
          <w:highlight w:val="none"/>
          <w:lang w:val="en-US" w:eastAsia="zh-CN"/>
        </w:rPr>
        <w:t>扣除</w:t>
      </w:r>
      <w:r>
        <w:rPr>
          <w:rFonts w:hint="eastAsia" w:ascii="楷体_GB2312" w:hAnsi="宋体" w:eastAsia="楷体_GB2312"/>
          <w:color w:val="000000"/>
          <w:sz w:val="24"/>
          <w:highlight w:val="none"/>
        </w:rPr>
        <w:t>。</w:t>
      </w:r>
    </w:p>
    <w:p w14:paraId="3CCA58D6">
      <w:pPr>
        <w:ind w:firstLine="480" w:firstLineChars="200"/>
        <w:rPr>
          <w:rFonts w:hint="default" w:ascii="楷体_GB2312" w:hAnsi="宋体" w:eastAsia="楷体_GB2312"/>
          <w:color w:val="000000"/>
          <w:sz w:val="24"/>
          <w:highlight w:val="none"/>
          <w:lang w:val="en-US" w:eastAsia="zh-CN"/>
        </w:rPr>
      </w:pPr>
      <w:r>
        <w:rPr>
          <w:rFonts w:hint="eastAsia" w:ascii="楷体_GB2312" w:hAnsi="宋体" w:eastAsia="楷体_GB2312"/>
          <w:color w:val="000000"/>
          <w:sz w:val="24"/>
          <w:highlight w:val="none"/>
        </w:rPr>
        <w:t>（2）其他成本费用：</w:t>
      </w:r>
      <w:r>
        <w:rPr>
          <w:rFonts w:hint="eastAsia" w:ascii="楷体_GB2312" w:hAnsi="宋体" w:eastAsia="楷体_GB2312"/>
          <w:color w:val="000000"/>
          <w:sz w:val="24"/>
          <w:highlight w:val="none"/>
          <w:lang w:val="en-US" w:eastAsia="zh-CN"/>
        </w:rPr>
        <w:t>本理财</w:t>
      </w:r>
      <w:r>
        <w:rPr>
          <w:rFonts w:hint="eastAsia" w:ascii="楷体_GB2312" w:hAnsi="宋体" w:eastAsia="楷体_GB2312"/>
          <w:color w:val="000000"/>
          <w:sz w:val="24"/>
          <w:highlight w:val="none"/>
        </w:rPr>
        <w:t>产品运作和清算中产生的其他资金汇划费、结算费、交易手续费、注册登记费、账户服务费、进行</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理财产品销售文件</w:t>
      </w:r>
      <w:r>
        <w:rPr>
          <w:rFonts w:hint="eastAsia" w:ascii="楷体_GB2312" w:hAnsi="宋体" w:eastAsia="楷体_GB2312"/>
          <w:color w:val="000000"/>
          <w:sz w:val="24"/>
          <w:highlight w:val="none"/>
          <w:lang w:val="en-US" w:eastAsia="zh-CN"/>
        </w:rPr>
        <w:t>约</w:t>
      </w:r>
      <w:r>
        <w:rPr>
          <w:rFonts w:hint="eastAsia" w:ascii="楷体_GB2312" w:hAnsi="宋体" w:eastAsia="楷体_GB2312"/>
          <w:color w:val="000000"/>
          <w:sz w:val="24"/>
          <w:highlight w:val="none"/>
        </w:rPr>
        <w:t>定的投资而发生的交易费用、根据国家有关规定应当在</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理财产品收益或资产中扣除的法定费用、</w:t>
      </w:r>
      <w:r>
        <w:rPr>
          <w:rFonts w:hint="eastAsia" w:ascii="楷体_GB2312" w:hAnsi="宋体" w:eastAsia="楷体_GB2312"/>
          <w:color w:val="000000"/>
          <w:sz w:val="24"/>
          <w:highlight w:val="none"/>
          <w:lang w:eastAsia="zh-CN"/>
        </w:rPr>
        <w:t>本理财产品</w:t>
      </w:r>
      <w:r>
        <w:rPr>
          <w:rFonts w:hint="eastAsia" w:ascii="楷体_GB2312" w:hAnsi="宋体" w:eastAsia="楷体_GB2312"/>
          <w:color w:val="000000"/>
          <w:sz w:val="24"/>
          <w:highlight w:val="none"/>
        </w:rPr>
        <w:t>存续期间发生的信息披露费用、与</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理财产品相关的会计师费</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如审计费等</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rPr>
        <w:t>和律师费以及</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理财产品销售文件约定可扣除的其他费用(包括交易发生的税费、手续费等)均属于</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理财产品的</w:t>
      </w:r>
      <w:r>
        <w:rPr>
          <w:rFonts w:hint="eastAsia" w:ascii="楷体_GB2312" w:hAnsi="宋体" w:eastAsia="楷体_GB2312"/>
          <w:color w:val="000000"/>
          <w:sz w:val="24"/>
          <w:highlight w:val="none"/>
          <w:lang w:val="en-US" w:eastAsia="zh-CN"/>
        </w:rPr>
        <w:t>其他</w:t>
      </w:r>
      <w:r>
        <w:rPr>
          <w:rFonts w:hint="eastAsia" w:ascii="楷体_GB2312" w:hAnsi="宋体" w:eastAsia="楷体_GB2312"/>
          <w:color w:val="000000"/>
          <w:sz w:val="24"/>
          <w:highlight w:val="none"/>
        </w:rPr>
        <w:t>成本费用，由</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依照相关法律文件的约定在向投资者分配资金前从</w:t>
      </w:r>
      <w:r>
        <w:rPr>
          <w:rFonts w:hint="eastAsia" w:ascii="楷体_GB2312" w:hAnsi="宋体" w:eastAsia="楷体_GB2312"/>
          <w:color w:val="000000"/>
          <w:sz w:val="24"/>
          <w:highlight w:val="none"/>
          <w:lang w:val="en-US" w:eastAsia="zh-CN"/>
        </w:rPr>
        <w:t>理财产品中支付</w:t>
      </w:r>
      <w:r>
        <w:rPr>
          <w:rFonts w:hint="eastAsia" w:ascii="楷体_GB2312" w:hAnsi="宋体" w:eastAsia="楷体_GB2312"/>
          <w:color w:val="000000"/>
          <w:sz w:val="24"/>
          <w:highlight w:val="none"/>
        </w:rPr>
        <w:t>。</w:t>
      </w:r>
    </w:p>
    <w:p w14:paraId="679118E8">
      <w:pPr>
        <w:ind w:firstLine="480" w:firstLineChars="200"/>
        <w:rPr>
          <w:rFonts w:ascii="楷体_GB2312" w:hAnsi="宋体" w:eastAsia="楷体_GB2312"/>
          <w:color w:val="000000"/>
          <w:sz w:val="24"/>
          <w:highlight w:val="none"/>
        </w:rPr>
      </w:pPr>
      <w:r>
        <w:rPr>
          <w:rFonts w:hint="eastAsia" w:ascii="楷体_GB2312" w:hAnsi="宋体" w:eastAsia="楷体_GB2312"/>
          <w:b w:val="0"/>
          <w:bCs w:val="0"/>
          <w:color w:val="000000"/>
          <w:sz w:val="24"/>
          <w:highlight w:val="none"/>
        </w:rPr>
        <w:t>★</w:t>
      </w: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三</w:t>
      </w:r>
      <w:r>
        <w:rPr>
          <w:rFonts w:hint="eastAsia" w:ascii="楷体_GB2312" w:hAnsi="宋体" w:eastAsia="楷体_GB2312"/>
          <w:color w:val="000000"/>
          <w:sz w:val="24"/>
          <w:highlight w:val="none"/>
        </w:rPr>
        <w:t>）特别说明</w:t>
      </w:r>
    </w:p>
    <w:p w14:paraId="3171AEE7">
      <w:pPr>
        <w:ind w:firstLine="480" w:firstLineChars="200"/>
        <w:rPr>
          <w:rFonts w:ascii="楷体_GB2312" w:hAnsi="宋体" w:eastAsia="楷体_GB2312"/>
          <w:b w:val="0"/>
          <w:bCs w:val="0"/>
          <w:color w:val="000000"/>
          <w:sz w:val="24"/>
          <w:highlight w:val="none"/>
        </w:rPr>
      </w:pPr>
      <w:r>
        <w:rPr>
          <w:rFonts w:hint="eastAsia" w:ascii="楷体_GB2312" w:hAnsi="宋体" w:eastAsia="楷体_GB2312"/>
          <w:color w:val="000000"/>
          <w:sz w:val="24"/>
          <w:highlight w:val="none"/>
        </w:rPr>
        <w:t>本理财产品销售文件项下北银理财所收取的费用为含税价格，相关税率按照国家法律法规规定执行。北银理财有权根据法律法规、监管规定、国家有关政策及市场情况调整前述收费项目、标准、条件、方式等具体收费内容。对于新增、调高或降低的相关内容，将提前</w:t>
      </w:r>
      <w:r>
        <w:rPr>
          <w:rFonts w:hint="default" w:ascii="楷体_GB2312" w:hAnsi="宋体" w:eastAsia="楷体_GB2312"/>
          <w:color w:val="000000"/>
          <w:sz w:val="24"/>
          <w:highlight w:val="none"/>
          <w:lang w:val="en-US"/>
        </w:rPr>
        <w:t>1</w:t>
      </w:r>
      <w:r>
        <w:rPr>
          <w:rFonts w:hint="eastAsia" w:ascii="楷体_GB2312" w:hAnsi="宋体" w:eastAsia="楷体_GB2312"/>
          <w:color w:val="000000"/>
          <w:sz w:val="24"/>
          <w:highlight w:val="none"/>
          <w:lang w:val="en-US" w:eastAsia="zh-CN"/>
        </w:rPr>
        <w:t>个工作日</w:t>
      </w:r>
      <w:r>
        <w:rPr>
          <w:rFonts w:hint="eastAsia" w:ascii="楷体_GB2312" w:hAnsi="宋体" w:eastAsia="楷体_GB2312"/>
          <w:color w:val="000000"/>
          <w:sz w:val="24"/>
          <w:highlight w:val="none"/>
        </w:rPr>
        <w:t>在</w:t>
      </w:r>
      <w:r>
        <w:rPr>
          <w:rFonts w:hint="eastAsia" w:ascii="楷体_GB2312" w:hAnsi="宋体" w:eastAsia="楷体_GB2312"/>
          <w:color w:val="auto"/>
          <w:sz w:val="24"/>
          <w:highlight w:val="none"/>
          <w:lang w:val="en-US" w:eastAsia="zh-CN"/>
        </w:rPr>
        <w:t>本理财产品销售文件约定的信息披露渠道</w:t>
      </w:r>
      <w:r>
        <w:rPr>
          <w:rFonts w:hint="eastAsia" w:ascii="楷体_GB2312" w:hAnsi="宋体" w:eastAsia="楷体_GB2312"/>
          <w:color w:val="000000"/>
          <w:sz w:val="24"/>
          <w:highlight w:val="none"/>
        </w:rPr>
        <w:t>向投资者披露，并于</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确定的施行日期开</w:t>
      </w:r>
      <w:r>
        <w:rPr>
          <w:rFonts w:hint="eastAsia" w:ascii="楷体_GB2312" w:hAnsi="宋体" w:eastAsia="楷体_GB2312" w:cs="Times New Roman"/>
          <w:color w:val="000000"/>
          <w:sz w:val="24"/>
          <w:highlight w:val="none"/>
        </w:rPr>
        <w:t>始施行。</w:t>
      </w:r>
      <w:r>
        <w:rPr>
          <w:rFonts w:hint="eastAsia" w:ascii="楷体_GB2312" w:hAnsi="宋体" w:eastAsia="楷体_GB2312" w:cs="Times New Roman"/>
          <w:b/>
          <w:bCs/>
          <w:color w:val="000000"/>
          <w:sz w:val="24"/>
          <w:highlight w:val="none"/>
          <w:lang w:val="en-US" w:eastAsia="zh-CN"/>
        </w:rPr>
        <w:t>如</w:t>
      </w:r>
      <w:r>
        <w:rPr>
          <w:rFonts w:hint="eastAsia" w:ascii="楷体_GB2312" w:hAnsi="宋体" w:eastAsia="楷体_GB2312" w:cs="Times New Roman"/>
          <w:b/>
          <w:bCs/>
          <w:color w:val="000000"/>
          <w:sz w:val="24"/>
          <w:highlight w:val="none"/>
        </w:rPr>
        <w:t>投资者未</w:t>
      </w:r>
      <w:r>
        <w:rPr>
          <w:rFonts w:hint="eastAsia" w:ascii="楷体_GB2312" w:hAnsi="宋体" w:eastAsia="楷体_GB2312" w:cs="Times New Roman"/>
          <w:b/>
          <w:bCs/>
          <w:color w:val="000000"/>
          <w:sz w:val="24"/>
          <w:highlight w:val="none"/>
          <w:lang w:val="en-US" w:eastAsia="zh-CN"/>
        </w:rPr>
        <w:t>按照</w:t>
      </w:r>
      <w:r>
        <w:rPr>
          <w:rFonts w:hint="eastAsia" w:ascii="楷体_GB2312" w:hAnsi="宋体" w:eastAsia="楷体_GB2312" w:cs="Times New Roman"/>
          <w:b/>
          <w:bCs/>
          <w:color w:val="000000"/>
          <w:sz w:val="24"/>
          <w:highlight w:val="none"/>
        </w:rPr>
        <w:t>公告进行赎回操作的，视为投资者同意接受该等调整并按其执行。</w:t>
      </w:r>
    </w:p>
    <w:p w14:paraId="43CF3977">
      <w:pPr>
        <w:ind w:firstLine="482" w:firstLineChars="200"/>
        <w:rPr>
          <w:rFonts w:ascii="楷体_GB2312" w:hAnsi="宋体" w:eastAsia="楷体_GB2312"/>
          <w:b/>
          <w:color w:val="000000"/>
          <w:sz w:val="24"/>
          <w:highlight w:val="none"/>
        </w:rPr>
      </w:pPr>
      <w:r>
        <w:rPr>
          <w:rFonts w:hint="eastAsia" w:ascii="楷体_GB2312" w:hAnsi="宋体" w:eastAsia="楷体_GB2312"/>
          <w:b/>
          <w:color w:val="000000"/>
          <w:sz w:val="24"/>
          <w:highlight w:val="none"/>
          <w:lang w:val="en-US" w:eastAsia="zh-CN"/>
        </w:rPr>
        <w:t>九</w:t>
      </w:r>
      <w:r>
        <w:rPr>
          <w:rFonts w:ascii="楷体_GB2312" w:hAnsi="宋体" w:eastAsia="楷体_GB2312"/>
          <w:b/>
          <w:color w:val="000000"/>
          <w:sz w:val="24"/>
          <w:highlight w:val="none"/>
        </w:rPr>
        <w:t>、资产估值</w:t>
      </w:r>
    </w:p>
    <w:p w14:paraId="446ADF78">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（一）估值目的和估值原则</w:t>
      </w:r>
    </w:p>
    <w:p w14:paraId="18E648A8">
      <w:pPr>
        <w:ind w:firstLine="480" w:firstLineChars="200"/>
        <w:rPr>
          <w:rFonts w:hint="eastAsia" w:ascii="楷体_GB2312" w:hAnsi="宋体" w:eastAsia="楷体_GB2312" w:cs="Times New Roman"/>
          <w:color w:val="000000"/>
          <w:sz w:val="24"/>
          <w:lang w:eastAsia="zh-CN"/>
        </w:rPr>
      </w:pPr>
      <w:r>
        <w:rPr>
          <w:rFonts w:hint="eastAsia" w:ascii="楷体_GB2312" w:hAnsi="宋体" w:eastAsia="楷体_GB2312" w:cs="Times New Roman"/>
          <w:color w:val="000000"/>
          <w:sz w:val="24"/>
        </w:rPr>
        <w:t>本</w:t>
      </w:r>
      <w:r>
        <w:rPr>
          <w:rFonts w:hint="eastAsia" w:ascii="楷体_GB2312" w:hAnsi="宋体" w:eastAsia="楷体_GB2312" w:cs="Times New Roman"/>
          <w:color w:val="000000"/>
          <w:sz w:val="24"/>
          <w:lang w:val="en-US" w:eastAsia="zh-CN"/>
        </w:rPr>
        <w:t>理财</w:t>
      </w:r>
      <w:r>
        <w:rPr>
          <w:rFonts w:hint="eastAsia" w:ascii="楷体_GB2312" w:hAnsi="宋体" w:eastAsia="楷体_GB2312" w:cs="Times New Roman"/>
          <w:color w:val="000000"/>
          <w:sz w:val="24"/>
        </w:rPr>
        <w:t>产品资产估值的目的是客观、准确的反映</w:t>
      </w:r>
      <w:r>
        <w:rPr>
          <w:rFonts w:hint="eastAsia" w:ascii="楷体_GB2312" w:hAnsi="宋体" w:eastAsia="楷体_GB2312" w:cs="Times New Roman"/>
          <w:color w:val="000000"/>
          <w:sz w:val="24"/>
          <w:lang w:val="en-US" w:eastAsia="zh-CN"/>
        </w:rPr>
        <w:t>产品</w:t>
      </w:r>
      <w:r>
        <w:rPr>
          <w:rFonts w:hint="eastAsia" w:ascii="楷体_GB2312" w:hAnsi="宋体" w:eastAsia="楷体_GB2312" w:cs="Times New Roman"/>
          <w:color w:val="000000"/>
          <w:sz w:val="24"/>
        </w:rPr>
        <w:t>资产净值，确定</w:t>
      </w:r>
      <w:r>
        <w:rPr>
          <w:rFonts w:hint="eastAsia" w:ascii="楷体_GB2312" w:hAnsi="宋体" w:eastAsia="楷体_GB2312" w:cs="Times New Roman"/>
          <w:color w:val="000000"/>
          <w:sz w:val="24"/>
          <w:lang w:val="en-US" w:eastAsia="zh-CN"/>
        </w:rPr>
        <w:t>本</w:t>
      </w:r>
      <w:r>
        <w:rPr>
          <w:rFonts w:hint="eastAsia" w:ascii="楷体_GB2312" w:hAnsi="宋体" w:eastAsia="楷体_GB2312" w:cs="Times New Roman"/>
          <w:color w:val="000000"/>
          <w:sz w:val="24"/>
        </w:rPr>
        <w:t>理财产品资产净值。当</w:t>
      </w:r>
      <w:r>
        <w:rPr>
          <w:rFonts w:hint="eastAsia" w:ascii="楷体_GB2312" w:hAnsi="宋体" w:eastAsia="楷体_GB2312" w:cs="Times New Roman"/>
          <w:color w:val="000000"/>
          <w:sz w:val="24"/>
          <w:lang w:val="en-US" w:eastAsia="zh-CN"/>
        </w:rPr>
        <w:t>本理财</w:t>
      </w:r>
      <w:r>
        <w:rPr>
          <w:rFonts w:hint="eastAsia" w:ascii="楷体_GB2312" w:hAnsi="宋体" w:eastAsia="楷体_GB2312" w:cs="Times New Roman"/>
          <w:color w:val="000000"/>
          <w:sz w:val="24"/>
        </w:rPr>
        <w:t>产品提取超额业绩报酬时，按</w:t>
      </w:r>
      <w:r>
        <w:rPr>
          <w:rFonts w:hint="eastAsia" w:ascii="楷体_GB2312" w:hAnsi="宋体" w:eastAsia="楷体_GB2312" w:cs="Times New Roman"/>
          <w:color w:val="000000"/>
          <w:sz w:val="24"/>
          <w:lang w:val="en-US" w:eastAsia="zh-CN"/>
        </w:rPr>
        <w:t>本理财</w:t>
      </w:r>
      <w:r>
        <w:rPr>
          <w:rFonts w:hint="eastAsia" w:ascii="楷体_GB2312" w:hAnsi="宋体" w:eastAsia="楷体_GB2312" w:cs="Times New Roman"/>
          <w:color w:val="000000"/>
          <w:sz w:val="24"/>
        </w:rPr>
        <w:t>产品</w:t>
      </w:r>
      <w:r>
        <w:rPr>
          <w:rFonts w:hint="eastAsia" w:ascii="楷体_GB2312" w:hAnsi="宋体" w:eastAsia="楷体_GB2312" w:cs="Times New Roman"/>
          <w:color w:val="000000"/>
          <w:sz w:val="24"/>
          <w:lang w:val="en-US" w:eastAsia="zh-CN"/>
        </w:rPr>
        <w:t>单位</w:t>
      </w:r>
      <w:r>
        <w:rPr>
          <w:rFonts w:hint="eastAsia" w:ascii="楷体_GB2312" w:hAnsi="宋体" w:eastAsia="楷体_GB2312" w:cs="Times New Roman"/>
          <w:color w:val="000000"/>
          <w:sz w:val="24"/>
        </w:rPr>
        <w:t>净值为理财产品的兑付提供计价依据</w:t>
      </w:r>
      <w:r>
        <w:rPr>
          <w:rFonts w:hint="eastAsia" w:ascii="楷体_GB2312" w:hAnsi="宋体" w:eastAsia="楷体_GB2312" w:cs="Times New Roman"/>
          <w:color w:val="000000"/>
          <w:sz w:val="24"/>
          <w:lang w:eastAsia="zh-CN"/>
        </w:rPr>
        <w:t>。</w:t>
      </w:r>
    </w:p>
    <w:p w14:paraId="194BD6C7">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（二）估值对象</w:t>
      </w:r>
    </w:p>
    <w:p w14:paraId="0769E340">
      <w:pPr>
        <w:ind w:left="0" w:firstLine="480" w:firstLineChars="200"/>
        <w:rPr>
          <w:rFonts w:hint="eastAsia" w:ascii="楷体_GB2312" w:hAnsi="宋体" w:eastAsia="楷体_GB2312" w:cs="Times New Roman"/>
          <w:color w:val="000000"/>
          <w:sz w:val="24"/>
        </w:rPr>
      </w:pPr>
      <w:r>
        <w:rPr>
          <w:rFonts w:hint="eastAsia" w:ascii="楷体_GB2312" w:hAnsi="宋体" w:eastAsia="楷体_GB2312" w:cs="Times New Roman"/>
          <w:color w:val="000000"/>
          <w:sz w:val="24"/>
        </w:rPr>
        <w:t>本</w:t>
      </w:r>
      <w:r>
        <w:rPr>
          <w:rFonts w:hint="eastAsia" w:ascii="楷体_GB2312" w:hAnsi="宋体" w:eastAsia="楷体_GB2312" w:cs="Times New Roman"/>
          <w:color w:val="000000"/>
          <w:sz w:val="24"/>
          <w:lang w:val="en-US" w:eastAsia="zh-CN"/>
        </w:rPr>
        <w:t>理财</w:t>
      </w:r>
      <w:r>
        <w:rPr>
          <w:rFonts w:hint="eastAsia" w:ascii="楷体_GB2312" w:hAnsi="宋体" w:eastAsia="楷体_GB2312" w:cs="Times New Roman"/>
          <w:color w:val="000000"/>
          <w:sz w:val="24"/>
        </w:rPr>
        <w:t>产品持有的金融资产和负债，具体金融资产同投资范围。</w:t>
      </w:r>
    </w:p>
    <w:p w14:paraId="625C088A">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（三）估值日</w:t>
      </w:r>
    </w:p>
    <w:p w14:paraId="17B7ECA7">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本</w:t>
      </w:r>
      <w:r>
        <w:rPr>
          <w:rFonts w:hint="eastAsia" w:ascii="楷体_GB2312" w:hAnsi="宋体" w:eastAsia="楷体_GB2312"/>
          <w:color w:val="000000"/>
          <w:sz w:val="24"/>
          <w:highlight w:val="none"/>
          <w:lang w:val="en-US" w:eastAsia="zh-CN"/>
        </w:rPr>
        <w:t>理财</w:t>
      </w:r>
      <w:r>
        <w:rPr>
          <w:rFonts w:hint="eastAsia" w:ascii="楷体_GB2312" w:hAnsi="宋体" w:eastAsia="楷体_GB2312"/>
          <w:color w:val="000000"/>
          <w:sz w:val="24"/>
          <w:highlight w:val="none"/>
        </w:rPr>
        <w:t>产品成立后的每个自然日均为估值日。</w:t>
      </w:r>
    </w:p>
    <w:p w14:paraId="1D758356">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（四）估值方法</w:t>
      </w:r>
    </w:p>
    <w:p w14:paraId="31B8EE6C">
      <w:pPr>
        <w:ind w:firstLine="480" w:firstLineChars="200"/>
        <w:rPr>
          <w:rFonts w:hint="eastAsia"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1）在证券交易所和全国银行间市场交易的标准化债权类资产，可按第三方估值机构（中证、中债等）提供的估值数据进行估值，具体第三方估值机构由产品管理人和产品托管人具体协商确定。其中，证券交易所上市的标准化债权类资产，第三方估值机构提供的估值价格与收盘价存在差异的，若产品管理人认定交易所收盘价更能体现公允价值，可与产品托管人协商一致后采用收盘价进行估值。如果第三方估值和收盘价都无法准确反馈公允价值的，采用估值技术进行估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能采用估值技术可靠计量公允价值。</w:t>
      </w:r>
    </w:p>
    <w:p w14:paraId="0D10FFB4">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2）非标准化债权类资产，通常不存在活跃报价的交易市场，通过估值技术确定其公允价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能采用估值技术可靠计量公允价值。</w:t>
      </w:r>
    </w:p>
    <w:p w14:paraId="6F818D95">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（3）交易所上市未实行净价交易的债券按估值日收盘全价或第三方估值机构提供的相应品种当日的估值全价减去收盘价或估值全价中所含的债券应收利息得到的净价进行估值。</w:t>
      </w:r>
    </w:p>
    <w:p w14:paraId="7C015EE2">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（4）可转换私募债券和可交换私募债券未转股前按照公允价值估值。</w:t>
      </w:r>
    </w:p>
    <w:p w14:paraId="41746317">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5）公募基金类资产按照本理财产品所投资的公募基金以估值日公布的产品单位净值进行估值，估值日产品单位净值未公布的，以最近一个工作日产品单位净值计算。其中，货币市场基金单位价值按1.0000计算，逐日计提收益。货币式基金的待分配收益在估值日没有转为份额的，按估值日前一交易日基金管理公司披露的每万份收益计提。交易所基金(包括封闭式基金、上市开放式基金（LOF）、交易型开放式指数基金（ETF）等)，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w:t>
      </w:r>
    </w:p>
    <w:p w14:paraId="1545867A">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6）未上市基金估值：境内未上市的货币市场基金以成本估值，估值日按基金公布的最新万份收益计提红利；境内未上市的非货币市场基金，估值日按所投资基金公布的最新份额净值估值。当日未公布的，以最近能获取的基金份额净值为准。</w:t>
      </w:r>
    </w:p>
    <w:p w14:paraId="488F7DCB">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（7）资产管理产品：</w:t>
      </w:r>
    </w:p>
    <w:p w14:paraId="2E1930B7">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（i）以各类资产管理产品的管理人和资产管理产品的托管人共同确认的净值或投资收益情况进行估值。</w:t>
      </w:r>
    </w:p>
    <w:p w14:paraId="1E1B884A">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ii）非标准化债权资产，通常不存在活跃报价的交易市场，通过估值技术确定其公允价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能采用估值技术可靠计量公允价值。</w:t>
      </w:r>
    </w:p>
    <w:p w14:paraId="41A91591">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（8）债券回购和拆借按本金列示，逐日计提利息。</w:t>
      </w:r>
    </w:p>
    <w:p w14:paraId="782A9F4E">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（9）银行存款以每个估值日以本金列示，逐日计提利息。</w:t>
      </w:r>
    </w:p>
    <w:p w14:paraId="00F5931F">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10）若本理财产品存续期间持有其他投资品种，以产品管理人和产品托管人共同认可的方法估值。以摊余成本法计量或以公允价值计量且其变动计入其他综合收益的资产，需要采用第三方减值计量结果或模型进行减值计提。计提减值不代表金融资产已发生损失，仅为对未来风险的审慎预期。</w:t>
      </w:r>
    </w:p>
    <w:p w14:paraId="58BD20B6">
      <w:pPr>
        <w:ind w:firstLine="480" w:firstLineChars="200"/>
        <w:rPr>
          <w:rFonts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11）在任何情况下，如采用以上规定的方法对资产进行估值，均应被认为采用了适当的估值方法。但是，如果产品管理人或产品托管人认为按以上规定的方法对产品资产进行估值不能客观反映其公允价值的，可提出异议，协商一致后，变更公允价值的确定方式，并从经产品管理人与产品托管人协商一致日起执行。</w:t>
      </w:r>
    </w:p>
    <w:p w14:paraId="24813F08">
      <w:pPr>
        <w:ind w:firstLine="480" w:firstLineChars="200"/>
        <w:rPr>
          <w:rFonts w:hint="eastAsia" w:ascii="楷体_GB2312" w:hAnsi="宋体" w:eastAsia="楷体_GB2312" w:cs="Times New Roman"/>
          <w:color w:val="000000"/>
          <w:sz w:val="24"/>
          <w:highlight w:val="none"/>
        </w:rPr>
      </w:pPr>
      <w:r>
        <w:rPr>
          <w:rFonts w:hint="eastAsia" w:ascii="楷体_GB2312" w:hAnsi="宋体" w:eastAsia="楷体_GB2312" w:cs="Times New Roman"/>
          <w:color w:val="000000"/>
          <w:sz w:val="24"/>
          <w:highlight w:val="none"/>
        </w:rPr>
        <w:t>（12）对于以上估值方法，相关法律法规、监管机构及行业协会有另行规定的，按照最新规定执行。如并无明确规定和要求的，由产品管理人与产品托管人协商确定计算方法。</w:t>
      </w:r>
    </w:p>
    <w:p w14:paraId="4ECB96EF">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（五）估值差错处理</w:t>
      </w:r>
    </w:p>
    <w:p w14:paraId="316F8817">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如</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管理人或</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托管人发现资产估值违反本</w:t>
      </w:r>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理财产品说明书</w:t>
      </w:r>
      <w:r>
        <w:rPr>
          <w:rFonts w:hint="eastAsia" w:ascii="楷体_GB2312" w:hAnsi="宋体" w:eastAsia="楷体_GB2312"/>
          <w:color w:val="000000"/>
          <w:sz w:val="24"/>
          <w:highlight w:val="none"/>
          <w:lang w:eastAsia="zh-CN"/>
        </w:rPr>
        <w:t>》</w:t>
      </w:r>
      <w:r>
        <w:rPr>
          <w:rFonts w:ascii="楷体_GB2312" w:hAnsi="宋体" w:eastAsia="楷体_GB2312"/>
          <w:color w:val="000000"/>
          <w:sz w:val="24"/>
          <w:highlight w:val="none"/>
        </w:rPr>
        <w:t>订明的估值方法、程序及相关法律法规的规定或者未能充分维护投资者利益时，应</w:t>
      </w:r>
      <w:r>
        <w:rPr>
          <w:rFonts w:hint="eastAsia" w:ascii="楷体_GB2312" w:hAnsi="宋体" w:eastAsia="楷体_GB2312"/>
          <w:color w:val="000000"/>
          <w:sz w:val="24"/>
          <w:highlight w:val="none"/>
        </w:rPr>
        <w:t>及时</w:t>
      </w:r>
      <w:r>
        <w:rPr>
          <w:rFonts w:ascii="楷体_GB2312" w:hAnsi="宋体" w:eastAsia="楷体_GB2312"/>
          <w:color w:val="000000"/>
          <w:sz w:val="24"/>
          <w:highlight w:val="none"/>
        </w:rPr>
        <w:t>通知对方，共同查明原因，协商解决，如经相关各方在平等基础上充分讨论后，仍无法达成一致意见，以</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管理人的意见为准。</w:t>
      </w:r>
    </w:p>
    <w:p w14:paraId="42A6103E">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当发现资产估值存在错误时，</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管理人和</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托管人应该及时更正。</w:t>
      </w:r>
    </w:p>
    <w:p w14:paraId="004CE59A">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（六）暂停估值</w:t>
      </w:r>
    </w:p>
    <w:p w14:paraId="6BF7CBD2">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当出现下列情形时，</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管理人有权选择暂停理财产品估值：</w:t>
      </w:r>
    </w:p>
    <w:p w14:paraId="04EFC302">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理财产品投资所涉及的证券交易所遇法定节假日或其他原因暂停营业时；</w:t>
      </w:r>
    </w:p>
    <w:p w14:paraId="3549E447">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（2）因任何不可抗力</w:t>
      </w:r>
      <w:r>
        <w:rPr>
          <w:rFonts w:hint="eastAsia" w:ascii="楷体_GB2312" w:hAnsi="宋体" w:eastAsia="楷体_GB2312"/>
          <w:color w:val="000000"/>
          <w:sz w:val="24"/>
          <w:highlight w:val="none"/>
          <w:lang w:val="en-US" w:eastAsia="zh-CN"/>
        </w:rPr>
        <w:t>及/</w:t>
      </w:r>
      <w:r>
        <w:rPr>
          <w:rFonts w:hint="eastAsia" w:ascii="楷体_GB2312" w:hAnsi="宋体" w:eastAsia="楷体_GB2312"/>
          <w:color w:val="000000"/>
          <w:sz w:val="24"/>
          <w:highlight w:val="none"/>
        </w:rPr>
        <w:t>或</w:t>
      </w:r>
      <w:r>
        <w:rPr>
          <w:rFonts w:hint="eastAsia" w:ascii="楷体_GB2312" w:hAnsi="宋体" w:eastAsia="楷体_GB2312"/>
          <w:color w:val="000000"/>
          <w:sz w:val="24"/>
          <w:highlight w:val="none"/>
          <w:lang w:val="en-US" w:eastAsia="zh-CN"/>
        </w:rPr>
        <w:t>意外事件等</w:t>
      </w:r>
      <w:r>
        <w:rPr>
          <w:rFonts w:hint="eastAsia" w:ascii="楷体_GB2312" w:hAnsi="宋体" w:eastAsia="楷体_GB2312"/>
          <w:color w:val="000000"/>
          <w:sz w:val="24"/>
          <w:highlight w:val="none"/>
        </w:rPr>
        <w:t>致使</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管理人无法准确评估资产价值时；</w:t>
      </w:r>
    </w:p>
    <w:p w14:paraId="26BF830B">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（3）法律法规规定或本理财产品销售文件约定的</w:t>
      </w:r>
      <w:r>
        <w:rPr>
          <w:rFonts w:hint="eastAsia" w:ascii="楷体_GB2312" w:hAnsi="宋体" w:eastAsia="楷体_GB2312"/>
          <w:color w:val="000000"/>
          <w:sz w:val="24"/>
          <w:highlight w:val="none"/>
          <w:lang w:val="en-US" w:eastAsia="zh-CN"/>
        </w:rPr>
        <w:t>其它</w:t>
      </w:r>
      <w:r>
        <w:rPr>
          <w:rFonts w:hint="eastAsia" w:ascii="楷体_GB2312" w:hAnsi="宋体" w:eastAsia="楷体_GB2312"/>
          <w:color w:val="000000"/>
          <w:sz w:val="24"/>
          <w:highlight w:val="none"/>
        </w:rPr>
        <w:t>情形。</w:t>
      </w:r>
    </w:p>
    <w:p w14:paraId="353CF6E0">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产品管理人</w:t>
      </w:r>
      <w:r>
        <w:rPr>
          <w:rFonts w:hint="eastAsia" w:ascii="楷体_GB2312" w:hAnsi="宋体" w:eastAsia="楷体_GB2312"/>
          <w:color w:val="000000"/>
          <w:sz w:val="24"/>
          <w:highlight w:val="none"/>
        </w:rPr>
        <w:t>选择暂停理财产品估值</w:t>
      </w:r>
      <w:r>
        <w:rPr>
          <w:rFonts w:hint="eastAsia" w:ascii="楷体_GB2312" w:hAnsi="宋体" w:eastAsia="楷体_GB2312"/>
          <w:color w:val="000000"/>
          <w:sz w:val="24"/>
          <w:highlight w:val="none"/>
          <w:lang w:val="en-US" w:eastAsia="zh-CN"/>
        </w:rPr>
        <w:t>的，</w:t>
      </w:r>
      <w:r>
        <w:rPr>
          <w:rFonts w:hint="eastAsia" w:ascii="楷体_GB2312" w:hAnsi="宋体" w:eastAsia="楷体_GB2312"/>
          <w:color w:val="000000"/>
          <w:sz w:val="24"/>
          <w:highlight w:val="none"/>
        </w:rPr>
        <w:t>产品管理人将按照监管规定及本理财产品销售文件约定的方式在3个交易日内发布临时信息披露，</w:t>
      </w:r>
      <w:r>
        <w:rPr>
          <w:rFonts w:hint="eastAsia" w:ascii="楷体_GB2312" w:hAnsi="仿宋" w:eastAsia="楷体_GB2312"/>
          <w:color w:val="000000"/>
          <w:sz w:val="24"/>
          <w:highlight w:val="none"/>
          <w:lang w:val="en-US" w:eastAsia="zh-CN"/>
        </w:rPr>
        <w:t>告知本理财产品的投资者，并</w:t>
      </w:r>
      <w:r>
        <w:rPr>
          <w:rFonts w:hint="eastAsia" w:ascii="楷体_GB2312" w:hAnsi="仿宋" w:eastAsia="楷体_GB2312"/>
          <w:color w:val="000000"/>
          <w:sz w:val="24"/>
          <w:highlight w:val="none"/>
        </w:rPr>
        <w:t>说明运用相关措施的原因及</w:t>
      </w:r>
      <w:r>
        <w:rPr>
          <w:rFonts w:hint="eastAsia" w:ascii="楷体_GB2312" w:hAnsi="仿宋" w:eastAsia="楷体_GB2312"/>
          <w:color w:val="000000"/>
          <w:sz w:val="24"/>
          <w:highlight w:val="none"/>
          <w:lang w:val="en-US" w:eastAsia="zh-CN"/>
        </w:rPr>
        <w:t>拟</w:t>
      </w:r>
      <w:r>
        <w:rPr>
          <w:rFonts w:hint="eastAsia" w:ascii="楷体_GB2312" w:hAnsi="仿宋" w:eastAsia="楷体_GB2312"/>
          <w:color w:val="000000"/>
          <w:sz w:val="24"/>
          <w:highlight w:val="none"/>
        </w:rPr>
        <w:t>采取的应对安排等</w:t>
      </w:r>
      <w:r>
        <w:rPr>
          <w:rFonts w:hint="eastAsia" w:ascii="楷体_GB2312" w:hAnsi="宋体" w:eastAsia="楷体_GB2312"/>
          <w:color w:val="000000"/>
          <w:sz w:val="24"/>
          <w:highlight w:val="none"/>
        </w:rPr>
        <w:t>。待估值条件恢复时，</w:t>
      </w:r>
      <w:r>
        <w:rPr>
          <w:rFonts w:hint="eastAsia" w:ascii="楷体_GB2312" w:hAnsi="宋体" w:eastAsia="楷体_GB2312"/>
          <w:color w:val="000000"/>
          <w:sz w:val="24"/>
          <w:highlight w:val="none"/>
          <w:lang w:val="en-US" w:eastAsia="zh-CN"/>
        </w:rPr>
        <w:t>产品管理人</w:t>
      </w:r>
      <w:r>
        <w:rPr>
          <w:rFonts w:hint="eastAsia" w:ascii="楷体_GB2312" w:hAnsi="宋体" w:eastAsia="楷体_GB2312"/>
          <w:color w:val="000000"/>
          <w:sz w:val="24"/>
          <w:highlight w:val="none"/>
        </w:rPr>
        <w:t>将按规定完成估值工作。</w:t>
      </w:r>
    </w:p>
    <w:p w14:paraId="7FADE70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（七）</w:t>
      </w:r>
      <w:r>
        <w:rPr>
          <w:rFonts w:ascii="楷体_GB2312" w:hAnsi="宋体" w:eastAsia="楷体_GB2312"/>
          <w:color w:val="000000"/>
          <w:sz w:val="24"/>
          <w:highlight w:val="none"/>
        </w:rPr>
        <w:t>资产账册的建立</w:t>
      </w:r>
    </w:p>
    <w:p w14:paraId="68CF8156">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管理人和</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托管人在本</w:t>
      </w:r>
      <w:r>
        <w:rPr>
          <w:rFonts w:hint="eastAsia" w:ascii="楷体_GB2312" w:hAnsi="宋体" w:eastAsia="楷体_GB2312"/>
          <w:color w:val="000000"/>
          <w:sz w:val="24"/>
          <w:highlight w:val="none"/>
        </w:rPr>
        <w:t>理财产品销售文件</w:t>
      </w:r>
      <w:r>
        <w:rPr>
          <w:rFonts w:ascii="楷体_GB2312" w:hAnsi="宋体" w:eastAsia="楷体_GB2312"/>
          <w:color w:val="000000"/>
          <w:sz w:val="24"/>
          <w:highlight w:val="none"/>
        </w:rPr>
        <w:t>生效后，应按照相关各方约定的同一记账方法和会计处理原则，分别独立的设置、登录和保管理财财产的全套账册，对相关各方各自的账册定期进行核对，互相监督。若双方对会计处理方法存在分歧，应以</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管理人的处理方法为准。</w:t>
      </w:r>
    </w:p>
    <w:p w14:paraId="602CD1EA">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经对账发现相关各方的账目存在不符的，</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管理人和</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托管人必须及时查明原因并纠正，保证相关各方平行登录的账册记录完全相符。</w:t>
      </w:r>
    </w:p>
    <w:p w14:paraId="0D1D34D2">
      <w:pPr>
        <w:ind w:firstLine="482" w:firstLineChars="200"/>
        <w:rPr>
          <w:rFonts w:ascii="楷体_GB2312" w:hAnsi="宋体" w:eastAsia="楷体_GB2312"/>
          <w:b/>
          <w:color w:val="000000"/>
          <w:sz w:val="24"/>
          <w:highlight w:val="none"/>
        </w:rPr>
      </w:pPr>
      <w:r>
        <w:rPr>
          <w:rFonts w:ascii="楷体_GB2312" w:hAnsi="宋体" w:eastAsia="楷体_GB2312"/>
          <w:b/>
          <w:color w:val="000000"/>
          <w:sz w:val="24"/>
          <w:highlight w:val="none"/>
        </w:rPr>
        <w:t>十、</w:t>
      </w:r>
      <w:r>
        <w:rPr>
          <w:rFonts w:hint="eastAsia" w:ascii="楷体_GB2312" w:hAnsi="宋体" w:eastAsia="楷体_GB2312"/>
          <w:b/>
          <w:color w:val="000000"/>
          <w:sz w:val="24"/>
          <w:highlight w:val="none"/>
        </w:rPr>
        <w:t>产品的信息披露</w:t>
      </w:r>
    </w:p>
    <w:p w14:paraId="331FB419">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（一）信息披露内容</w:t>
      </w:r>
    </w:p>
    <w:p w14:paraId="00BF10BB">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w:t>
      </w:r>
      <w:r>
        <w:rPr>
          <w:rFonts w:ascii="楷体_GB2312" w:hAnsi="宋体" w:eastAsia="楷体_GB2312"/>
          <w:color w:val="000000"/>
          <w:sz w:val="24"/>
          <w:highlight w:val="none"/>
        </w:rPr>
        <w:t>产品管理人将严格按照相关法律法规、规章、监管规定和本</w:t>
      </w:r>
      <w:r>
        <w:rPr>
          <w:rFonts w:hint="eastAsia" w:ascii="楷体_GB2312" w:hAnsi="宋体" w:eastAsia="楷体_GB2312"/>
          <w:color w:val="000000"/>
          <w:sz w:val="24"/>
          <w:highlight w:val="none"/>
        </w:rPr>
        <w:t>理财产品销售文件</w:t>
      </w:r>
      <w:r>
        <w:rPr>
          <w:rFonts w:ascii="楷体_GB2312" w:hAnsi="宋体" w:eastAsia="楷体_GB2312"/>
          <w:color w:val="000000"/>
          <w:sz w:val="24"/>
          <w:highlight w:val="none"/>
        </w:rPr>
        <w:t>的约定履行信息披露义务，并主动向投资者披露</w:t>
      </w:r>
      <w:r>
        <w:rPr>
          <w:rFonts w:hint="eastAsia" w:ascii="楷体_GB2312" w:hAnsi="宋体" w:eastAsia="楷体_GB2312"/>
          <w:color w:val="000000"/>
          <w:sz w:val="24"/>
          <w:highlight w:val="none"/>
          <w:lang w:val="en-US" w:eastAsia="zh-CN"/>
        </w:rPr>
        <w:t>本</w:t>
      </w:r>
      <w:r>
        <w:rPr>
          <w:rFonts w:ascii="楷体_GB2312" w:hAnsi="宋体" w:eastAsia="楷体_GB2312"/>
          <w:color w:val="000000"/>
          <w:sz w:val="24"/>
          <w:highlight w:val="none"/>
        </w:rPr>
        <w:t>理财产品的募集信息、资金投向、杠杆水平、收益分配、托管安排、投资账户信息、主要投资风险、关联交易等事项。</w:t>
      </w:r>
    </w:p>
    <w:p w14:paraId="6FA0B17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w:t>
      </w:r>
      <w:r>
        <w:rPr>
          <w:rFonts w:ascii="楷体_GB2312" w:hAnsi="宋体" w:eastAsia="楷体_GB2312"/>
          <w:color w:val="000000"/>
          <w:sz w:val="24"/>
          <w:highlight w:val="none"/>
        </w:rPr>
        <w:t>信息披露频率和时间</w:t>
      </w:r>
    </w:p>
    <w:p w14:paraId="70ADC9FE">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（1）发行公告</w:t>
      </w:r>
    </w:p>
    <w:p w14:paraId="16FA552B">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产品管理人将在本理财产品成立后5个工作日内披露发行公告。</w:t>
      </w:r>
    </w:p>
    <w:p w14:paraId="354EB89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净值公告</w:t>
      </w:r>
    </w:p>
    <w:p w14:paraId="414206A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产品管理人将在每周第二个工作日披露上一周最后一个交易所交易日的产品</w:t>
      </w:r>
      <w:r>
        <w:rPr>
          <w:rFonts w:hint="eastAsia" w:ascii="楷体_GB2312" w:hAnsi="宋体" w:eastAsia="楷体_GB2312"/>
          <w:color w:val="000000"/>
          <w:sz w:val="24"/>
          <w:highlight w:val="none"/>
          <w:lang w:val="en-US" w:eastAsia="zh-CN"/>
        </w:rPr>
        <w:t>份额</w:t>
      </w:r>
      <w:r>
        <w:rPr>
          <w:rFonts w:hint="eastAsia" w:ascii="楷体_GB2312" w:hAnsi="宋体" w:eastAsia="楷体_GB2312"/>
          <w:color w:val="000000"/>
          <w:sz w:val="24"/>
          <w:highlight w:val="none"/>
        </w:rPr>
        <w:t>净值</w:t>
      </w:r>
      <w:r>
        <w:rPr>
          <w:rFonts w:hint="eastAsia" w:ascii="楷体_GB2312" w:hAnsi="宋体" w:eastAsia="楷体_GB2312"/>
          <w:color w:val="000000"/>
          <w:sz w:val="24"/>
          <w:highlight w:val="none"/>
          <w:lang w:val="en-US" w:eastAsia="zh-CN"/>
        </w:rPr>
        <w:t>和</w:t>
      </w:r>
      <w:r>
        <w:rPr>
          <w:rFonts w:hint="eastAsia" w:ascii="楷体_GB2312" w:hAnsi="宋体" w:eastAsia="楷体_GB2312"/>
          <w:color w:val="000000"/>
          <w:sz w:val="24"/>
          <w:highlight w:val="none"/>
        </w:rPr>
        <w:t>产品资产净值。</w:t>
      </w:r>
    </w:p>
    <w:p w14:paraId="302858F1">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（3）分红公告</w:t>
      </w:r>
    </w:p>
    <w:p w14:paraId="7E82B493">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产品管理人将在</w:t>
      </w:r>
      <w:r>
        <w:rPr>
          <w:rFonts w:hint="eastAsia" w:ascii="楷体_GB2312" w:hAnsi="宋体" w:eastAsia="楷体_GB2312"/>
          <w:color w:val="000000"/>
          <w:sz w:val="24"/>
          <w:highlight w:val="none"/>
          <w:lang w:val="en-US" w:eastAsia="zh-CN"/>
        </w:rPr>
        <w:t>本理财</w:t>
      </w:r>
      <w:r>
        <w:rPr>
          <w:rFonts w:ascii="楷体_GB2312" w:hAnsi="宋体" w:eastAsia="楷体_GB2312"/>
          <w:color w:val="000000"/>
          <w:sz w:val="24"/>
          <w:highlight w:val="none"/>
        </w:rPr>
        <w:t>产品分红后</w:t>
      </w:r>
      <w:r>
        <w:rPr>
          <w:rFonts w:hint="eastAsia" w:ascii="楷体_GB2312" w:hAnsi="宋体" w:eastAsia="楷体_GB2312"/>
          <w:color w:val="000000"/>
          <w:sz w:val="24"/>
          <w:highlight w:val="none"/>
        </w:rPr>
        <w:t>2个工作日内披露产品分红公告（如有）。</w:t>
      </w:r>
    </w:p>
    <w:p w14:paraId="0A4F10F2">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w:t>
      </w:r>
      <w:r>
        <w:rPr>
          <w:rFonts w:hint="eastAsia" w:ascii="楷体_GB2312" w:hAnsi="宋体" w:eastAsia="楷体_GB2312"/>
          <w:color w:val="000000"/>
          <w:sz w:val="24"/>
          <w:highlight w:val="none"/>
        </w:rPr>
        <w:t>4</w:t>
      </w:r>
      <w:r>
        <w:rPr>
          <w:rFonts w:ascii="楷体_GB2312" w:hAnsi="宋体" w:eastAsia="楷体_GB2312"/>
          <w:color w:val="000000"/>
          <w:sz w:val="24"/>
          <w:highlight w:val="none"/>
        </w:rPr>
        <w:t>）重大事项公告</w:t>
      </w:r>
    </w:p>
    <w:p w14:paraId="088DC9C5">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产品管理人将在发生可能对本理财产品投资者或者</w:t>
      </w:r>
      <w:r>
        <w:rPr>
          <w:rFonts w:hint="eastAsia" w:ascii="楷体_GB2312" w:hAnsi="宋体" w:eastAsia="楷体_GB2312"/>
          <w:color w:val="000000"/>
          <w:sz w:val="24"/>
          <w:highlight w:val="none"/>
          <w:lang w:val="en-US" w:eastAsia="zh-CN"/>
        </w:rPr>
        <w:t>本</w:t>
      </w:r>
      <w:r>
        <w:rPr>
          <w:rFonts w:ascii="楷体_GB2312" w:hAnsi="宋体" w:eastAsia="楷体_GB2312"/>
          <w:color w:val="000000"/>
          <w:sz w:val="24"/>
          <w:highlight w:val="none"/>
        </w:rPr>
        <w:t>理财产品收益产生重大影响的事件后2个工作日内披露重大事项公告。</w:t>
      </w:r>
    </w:p>
    <w:p w14:paraId="70EFA973">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w:t>
      </w:r>
      <w:r>
        <w:rPr>
          <w:rFonts w:hint="eastAsia" w:ascii="楷体_GB2312" w:hAnsi="宋体" w:eastAsia="楷体_GB2312"/>
          <w:color w:val="000000"/>
          <w:sz w:val="24"/>
          <w:highlight w:val="none"/>
        </w:rPr>
        <w:t>5</w:t>
      </w:r>
      <w:r>
        <w:rPr>
          <w:rFonts w:ascii="楷体_GB2312" w:hAnsi="宋体" w:eastAsia="楷体_GB2312"/>
          <w:color w:val="000000"/>
          <w:sz w:val="24"/>
          <w:highlight w:val="none"/>
        </w:rPr>
        <w:t>）定期报告</w:t>
      </w:r>
    </w:p>
    <w:p w14:paraId="117FA9DE">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产品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产品管理人可以不编制</w:t>
      </w:r>
      <w:r>
        <w:rPr>
          <w:rFonts w:hint="eastAsia" w:ascii="楷体_GB2312" w:hAnsi="宋体" w:eastAsia="楷体_GB2312"/>
          <w:color w:val="000000"/>
          <w:sz w:val="24"/>
          <w:highlight w:val="none"/>
          <w:lang w:val="en-US" w:eastAsia="zh-CN"/>
        </w:rPr>
        <w:t>本理财</w:t>
      </w:r>
      <w:r>
        <w:rPr>
          <w:rFonts w:ascii="楷体_GB2312" w:hAnsi="宋体" w:eastAsia="楷体_GB2312"/>
          <w:color w:val="000000"/>
          <w:sz w:val="24"/>
          <w:highlight w:val="none"/>
        </w:rPr>
        <w:t>产品当期的季度、半年和年度报告。</w:t>
      </w:r>
      <w:r>
        <w:rPr>
          <w:rFonts w:hint="eastAsia" w:ascii="楷体_GB2312" w:hAnsi="宋体" w:eastAsia="楷体_GB2312"/>
          <w:color w:val="000000"/>
          <w:sz w:val="24"/>
          <w:highlight w:val="none"/>
        </w:rPr>
        <w:t>产品管理人将在</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理财产品季度、半年和年度报告中披露本理财产品组合资产情况及其流动性风险分析等。</w:t>
      </w:r>
    </w:p>
    <w:p w14:paraId="11971FC3">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w:t>
      </w:r>
      <w:r>
        <w:rPr>
          <w:rFonts w:hint="eastAsia" w:ascii="楷体_GB2312" w:hAnsi="宋体" w:eastAsia="楷体_GB2312"/>
          <w:color w:val="000000"/>
          <w:sz w:val="24"/>
          <w:highlight w:val="none"/>
        </w:rPr>
        <w:t>6</w:t>
      </w:r>
      <w:r>
        <w:rPr>
          <w:rFonts w:ascii="楷体_GB2312" w:hAnsi="宋体" w:eastAsia="楷体_GB2312"/>
          <w:color w:val="000000"/>
          <w:sz w:val="24"/>
          <w:highlight w:val="none"/>
        </w:rPr>
        <w:t>）到期公告</w:t>
      </w:r>
    </w:p>
    <w:p w14:paraId="30470064">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产品管理人将在本理财产品</w:t>
      </w:r>
      <w:r>
        <w:rPr>
          <w:rFonts w:hint="eastAsia" w:ascii="楷体_GB2312" w:hAnsi="宋体" w:eastAsia="楷体_GB2312"/>
          <w:color w:val="000000"/>
          <w:sz w:val="24"/>
          <w:highlight w:val="none"/>
          <w:lang w:val="en-US" w:eastAsia="zh-CN"/>
        </w:rPr>
        <w:t>到期日/</w:t>
      </w:r>
      <w:r>
        <w:rPr>
          <w:rFonts w:ascii="楷体_GB2312" w:hAnsi="宋体" w:eastAsia="楷体_GB2312"/>
          <w:color w:val="000000"/>
          <w:sz w:val="24"/>
          <w:highlight w:val="none"/>
        </w:rPr>
        <w:t>终止</w:t>
      </w:r>
      <w:r>
        <w:rPr>
          <w:rFonts w:hint="eastAsia" w:ascii="楷体_GB2312" w:hAnsi="宋体" w:eastAsia="楷体_GB2312"/>
          <w:color w:val="000000"/>
          <w:sz w:val="24"/>
          <w:highlight w:val="none"/>
          <w:lang w:val="en-US" w:eastAsia="zh-CN"/>
        </w:rPr>
        <w:t>日</w:t>
      </w:r>
      <w:r>
        <w:rPr>
          <w:rFonts w:ascii="楷体_GB2312" w:hAnsi="宋体" w:eastAsia="楷体_GB2312"/>
          <w:color w:val="000000"/>
          <w:sz w:val="24"/>
          <w:highlight w:val="none"/>
        </w:rPr>
        <w:t>后5个工作日内披露到期公告。</w:t>
      </w:r>
    </w:p>
    <w:p w14:paraId="5F75EEE7">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w:t>
      </w:r>
      <w:r>
        <w:rPr>
          <w:rFonts w:hint="eastAsia" w:ascii="楷体_GB2312" w:hAnsi="宋体" w:eastAsia="楷体_GB2312"/>
          <w:color w:val="000000"/>
          <w:sz w:val="24"/>
          <w:highlight w:val="none"/>
        </w:rPr>
        <w:t>7</w:t>
      </w:r>
      <w:r>
        <w:rPr>
          <w:rFonts w:ascii="楷体_GB2312" w:hAnsi="宋体" w:eastAsia="楷体_GB2312"/>
          <w:color w:val="000000"/>
          <w:sz w:val="24"/>
          <w:highlight w:val="none"/>
        </w:rPr>
        <w:t>）临时公告</w:t>
      </w:r>
    </w:p>
    <w:p w14:paraId="6644904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本</w:t>
      </w:r>
      <w:r>
        <w:rPr>
          <w:rFonts w:ascii="楷体_GB2312" w:hAnsi="宋体" w:eastAsia="楷体_GB2312"/>
          <w:color w:val="000000"/>
          <w:sz w:val="24"/>
          <w:highlight w:val="none"/>
        </w:rPr>
        <w:t>理财产品在运作管理过程中，发生可能对</w:t>
      </w:r>
      <w:r>
        <w:rPr>
          <w:rFonts w:hint="eastAsia" w:ascii="楷体_GB2312" w:hAnsi="宋体" w:eastAsia="楷体_GB2312"/>
          <w:color w:val="000000"/>
          <w:sz w:val="24"/>
          <w:highlight w:val="none"/>
          <w:lang w:val="en-US" w:eastAsia="zh-CN"/>
        </w:rPr>
        <w:t>本</w:t>
      </w:r>
      <w:r>
        <w:rPr>
          <w:rFonts w:ascii="楷体_GB2312" w:hAnsi="宋体" w:eastAsia="楷体_GB2312"/>
          <w:color w:val="000000"/>
          <w:sz w:val="24"/>
          <w:highlight w:val="none"/>
        </w:rPr>
        <w:t>理财产品</w:t>
      </w:r>
      <w:r>
        <w:rPr>
          <w:rFonts w:hint="eastAsia" w:ascii="楷体_GB2312" w:hAnsi="宋体" w:eastAsia="楷体_GB2312"/>
          <w:color w:val="000000"/>
          <w:sz w:val="24"/>
          <w:highlight w:val="none"/>
          <w:lang w:val="en-US" w:eastAsia="zh-CN"/>
        </w:rPr>
        <w:t>份额</w:t>
      </w:r>
      <w:r>
        <w:rPr>
          <w:rFonts w:ascii="楷体_GB2312" w:hAnsi="宋体" w:eastAsia="楷体_GB2312"/>
          <w:color w:val="000000"/>
          <w:sz w:val="24"/>
          <w:highlight w:val="none"/>
        </w:rPr>
        <w:t>持有人权益产生影响的事项、涉及</w:t>
      </w:r>
      <w:r>
        <w:rPr>
          <w:rFonts w:hint="eastAsia" w:ascii="楷体_GB2312" w:hAnsi="宋体" w:eastAsia="楷体_GB2312"/>
          <w:color w:val="000000"/>
          <w:sz w:val="24"/>
          <w:highlight w:val="none"/>
          <w:lang w:val="en-US" w:eastAsia="zh-CN"/>
        </w:rPr>
        <w:t>本</w:t>
      </w:r>
      <w:r>
        <w:rPr>
          <w:rFonts w:ascii="楷体_GB2312" w:hAnsi="宋体" w:eastAsia="楷体_GB2312"/>
          <w:color w:val="000000"/>
          <w:sz w:val="24"/>
          <w:highlight w:val="none"/>
        </w:rPr>
        <w:t>理财产品认/申购、赎回事项调整或潜在影响投资者赎回等事项时，产品管理人将根据法律法规规定</w:t>
      </w:r>
      <w:r>
        <w:rPr>
          <w:rFonts w:hint="eastAsia" w:ascii="楷体_GB2312" w:hAnsi="宋体" w:eastAsia="楷体_GB2312"/>
          <w:color w:val="000000"/>
          <w:sz w:val="24"/>
          <w:highlight w:val="none"/>
          <w:lang w:val="en-US" w:eastAsia="zh-CN"/>
        </w:rPr>
        <w:t>和</w:t>
      </w:r>
      <w:r>
        <w:rPr>
          <w:rFonts w:ascii="楷体_GB2312" w:hAnsi="宋体" w:eastAsia="楷体_GB2312"/>
          <w:color w:val="000000"/>
          <w:sz w:val="24"/>
          <w:highlight w:val="none"/>
        </w:rPr>
        <w:t>本</w:t>
      </w:r>
      <w:r>
        <w:rPr>
          <w:rFonts w:hint="eastAsia" w:ascii="楷体_GB2312" w:hAnsi="宋体" w:eastAsia="楷体_GB2312"/>
          <w:color w:val="000000"/>
          <w:sz w:val="24"/>
          <w:highlight w:val="none"/>
        </w:rPr>
        <w:t>理财产品销售文件</w:t>
      </w:r>
      <w:r>
        <w:rPr>
          <w:rFonts w:ascii="楷体_GB2312" w:hAnsi="宋体" w:eastAsia="楷体_GB2312"/>
          <w:color w:val="000000"/>
          <w:sz w:val="24"/>
          <w:highlight w:val="none"/>
        </w:rPr>
        <w:t>约定及时进行临时信息披露。</w:t>
      </w:r>
    </w:p>
    <w:p w14:paraId="7DF98AFC">
      <w:pPr>
        <w:pStyle w:val="2"/>
        <w:ind w:left="0" w:leftChars="0" w:firstLine="480" w:firstLineChars="200"/>
        <w:rPr>
          <w:rFonts w:ascii="楷体_GB2312" w:hAnsi="宋体" w:eastAsia="楷体_GB2312"/>
          <w:color w:val="000000"/>
          <w:sz w:val="24"/>
          <w:highlight w:val="none"/>
        </w:rPr>
      </w:pPr>
      <w:r>
        <w:rPr>
          <w:rFonts w:hint="eastAsia" w:ascii="楷体_GB2312" w:hAnsi="宋体" w:eastAsia="楷体_GB2312" w:cs="Times New Roman"/>
          <w:bCs w:val="0"/>
          <w:color w:val="000000"/>
          <w:sz w:val="24"/>
          <w:highlight w:val="none"/>
          <w:lang w:val="en-US" w:eastAsia="zh-CN"/>
        </w:rPr>
        <w:t>在运用</w:t>
      </w:r>
      <w:r>
        <w:rPr>
          <w:rFonts w:hint="eastAsia" w:ascii="楷体_GB2312" w:hAnsi="宋体" w:eastAsia="楷体_GB2312" w:cs="Times New Roman"/>
          <w:color w:val="000000"/>
          <w:sz w:val="24"/>
          <w:highlight w:val="none"/>
          <w:lang w:val="en-US" w:eastAsia="zh-CN"/>
        </w:rPr>
        <w:t>流动性风险应对措施后，产品管理人</w:t>
      </w:r>
      <w:r>
        <w:rPr>
          <w:rFonts w:hint="eastAsia" w:ascii="楷体_GB2312" w:hAnsi="宋体" w:eastAsia="楷体_GB2312" w:cs="Times New Roman"/>
          <w:color w:val="000000"/>
          <w:sz w:val="24"/>
          <w:highlight w:val="none"/>
        </w:rPr>
        <w:t>将按</w:t>
      </w:r>
      <w:r>
        <w:rPr>
          <w:rFonts w:hint="eastAsia" w:ascii="楷体_GB2312" w:hAnsi="仿宋" w:eastAsia="楷体_GB2312"/>
          <w:color w:val="000000"/>
          <w:sz w:val="24"/>
          <w:highlight w:val="none"/>
        </w:rPr>
        <w:t>照监管规定及</w:t>
      </w:r>
      <w:r>
        <w:rPr>
          <w:rFonts w:hint="eastAsia" w:ascii="楷体_GB2312" w:hAnsi="仿宋" w:eastAsia="楷体_GB2312"/>
          <w:color w:val="000000"/>
          <w:sz w:val="24"/>
          <w:highlight w:val="none"/>
          <w:lang w:val="en-US" w:eastAsia="zh-CN"/>
        </w:rPr>
        <w:t>本理财产品</w:t>
      </w:r>
      <w:r>
        <w:rPr>
          <w:rFonts w:hint="eastAsia" w:ascii="楷体_GB2312" w:hAnsi="仿宋" w:eastAsia="楷体_GB2312"/>
          <w:color w:val="000000"/>
          <w:sz w:val="24"/>
          <w:highlight w:val="none"/>
        </w:rPr>
        <w:t>销售文件约定的</w:t>
      </w:r>
      <w:r>
        <w:rPr>
          <w:rFonts w:hint="eastAsia" w:ascii="楷体_GB2312" w:hAnsi="仿宋" w:eastAsia="楷体_GB2312"/>
          <w:color w:val="000000"/>
          <w:sz w:val="24"/>
          <w:highlight w:val="none"/>
          <w:lang w:val="en-US" w:eastAsia="zh-CN"/>
        </w:rPr>
        <w:t>信息披露</w:t>
      </w:r>
      <w:r>
        <w:rPr>
          <w:rFonts w:hint="eastAsia" w:ascii="楷体_GB2312" w:hAnsi="仿宋" w:eastAsia="楷体_GB2312"/>
          <w:color w:val="000000"/>
          <w:sz w:val="24"/>
          <w:highlight w:val="none"/>
        </w:rPr>
        <w:t>方式在3个交易日内发布临时</w:t>
      </w:r>
      <w:r>
        <w:rPr>
          <w:rFonts w:hint="eastAsia" w:ascii="楷体_GB2312" w:hAnsi="仿宋" w:eastAsia="楷体_GB2312"/>
          <w:color w:val="000000"/>
          <w:sz w:val="24"/>
          <w:highlight w:val="none"/>
          <w:lang w:val="en-US" w:eastAsia="zh-CN"/>
        </w:rPr>
        <w:t>公告，告知本理财产品的投资者，并</w:t>
      </w:r>
      <w:r>
        <w:rPr>
          <w:rFonts w:hint="eastAsia" w:ascii="楷体_GB2312" w:hAnsi="仿宋" w:eastAsia="楷体_GB2312"/>
          <w:color w:val="000000"/>
          <w:sz w:val="24"/>
          <w:highlight w:val="none"/>
        </w:rPr>
        <w:t>说明运用相关措施的原因及</w:t>
      </w:r>
      <w:r>
        <w:rPr>
          <w:rFonts w:hint="eastAsia" w:ascii="楷体_GB2312" w:hAnsi="仿宋" w:eastAsia="楷体_GB2312"/>
          <w:color w:val="000000"/>
          <w:sz w:val="24"/>
          <w:highlight w:val="none"/>
          <w:lang w:val="en-US" w:eastAsia="zh-CN"/>
        </w:rPr>
        <w:t>拟</w:t>
      </w:r>
      <w:r>
        <w:rPr>
          <w:rFonts w:hint="eastAsia" w:ascii="楷体_GB2312" w:hAnsi="仿宋" w:eastAsia="楷体_GB2312"/>
          <w:color w:val="000000"/>
          <w:sz w:val="24"/>
          <w:highlight w:val="none"/>
        </w:rPr>
        <w:t>采取的应对安排等。</w:t>
      </w:r>
    </w:p>
    <w:p w14:paraId="7E1322D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w:t>
      </w:r>
      <w:r>
        <w:rPr>
          <w:rFonts w:hint="eastAsia" w:ascii="楷体_GB2312" w:hAnsi="宋体" w:eastAsia="楷体_GB2312"/>
          <w:color w:val="000000"/>
          <w:sz w:val="24"/>
          <w:highlight w:val="none"/>
          <w:lang w:val="en-US" w:eastAsia="zh-CN"/>
        </w:rPr>
        <w:t>3</w:t>
      </w:r>
      <w:r>
        <w:rPr>
          <w:rFonts w:hint="eastAsia" w:ascii="楷体_GB2312" w:hAnsi="宋体" w:eastAsia="楷体_GB2312"/>
          <w:color w:val="000000"/>
          <w:sz w:val="24"/>
          <w:highlight w:val="none"/>
        </w:rPr>
        <w:t>.</w:t>
      </w:r>
      <w:r>
        <w:rPr>
          <w:rFonts w:ascii="楷体_GB2312" w:hAnsi="宋体" w:eastAsia="楷体_GB2312"/>
          <w:color w:val="000000"/>
          <w:sz w:val="24"/>
          <w:highlight w:val="none"/>
        </w:rPr>
        <w:t>信息披露渠道</w:t>
      </w:r>
    </w:p>
    <w:p w14:paraId="1CA4B98C">
      <w:pPr>
        <w:ind w:firstLine="480" w:firstLineChars="200"/>
        <w:rPr>
          <w:rFonts w:ascii="楷体_GB2312" w:hAnsi="宋体" w:eastAsia="楷体_GB2312"/>
          <w:b/>
          <w:bCs/>
          <w:color w:val="000000"/>
          <w:sz w:val="24"/>
          <w:highlight w:val="none"/>
        </w:rPr>
      </w:pPr>
      <w:r>
        <w:rPr>
          <w:rFonts w:hint="eastAsia" w:ascii="楷体_GB2312" w:hAnsi="宋体" w:eastAsia="楷体_GB2312"/>
          <w:color w:val="000000"/>
          <w:sz w:val="24"/>
          <w:highlight w:val="none"/>
        </w:rPr>
        <w:t>本理财产品的信息披露渠道为代销机构电子渠道、北银理财有限责任公司官方网站、中国理财网或监管机构认可的其他公开渠道，投资者可通过上述渠道查询本理财产品相关信息，在保障投资者知情权的前提下，产品管理人保留变更信息披露渠道的权利。相关信息自公告之日即视为已送达投资者且产品管理人已适当履行其信息披露义务。</w:t>
      </w:r>
      <w:r>
        <w:rPr>
          <w:rFonts w:hint="eastAsia" w:ascii="楷体_GB2312" w:hAnsi="宋体" w:eastAsia="楷体_GB2312"/>
          <w:b/>
          <w:bCs/>
          <w:color w:val="000000"/>
          <w:sz w:val="24"/>
          <w:highlight w:val="none"/>
        </w:rPr>
        <w:t>如投资者未适时查询，或由于不可抗力及/或意外事件的影响使得投资者无法了解本理财产品信息，并由此影响投资者的投资决策，因此而产生责任和风险由投资者自行承担</w:t>
      </w:r>
      <w:r>
        <w:rPr>
          <w:rFonts w:hint="eastAsia" w:ascii="楷体_GB2312" w:hAnsi="宋体" w:eastAsia="楷体_GB2312"/>
          <w:b/>
          <w:bCs/>
          <w:color w:val="000000"/>
          <w:sz w:val="24"/>
          <w:highlight w:val="none"/>
          <w:lang w:eastAsia="zh-CN"/>
        </w:rPr>
        <w:t>。</w:t>
      </w:r>
      <w:r>
        <w:rPr>
          <w:rFonts w:hint="eastAsia" w:ascii="楷体_GB2312" w:hAnsi="宋体" w:eastAsia="楷体_GB2312"/>
          <w:b/>
          <w:bCs/>
          <w:color w:val="000000"/>
          <w:sz w:val="24"/>
          <w:highlight w:val="none"/>
        </w:rPr>
        <w:t xml:space="preserve">  </w:t>
      </w:r>
    </w:p>
    <w:p w14:paraId="1E5BFD55">
      <w:pPr>
        <w:ind w:firstLine="480" w:firstLineChars="200"/>
        <w:rPr>
          <w:rFonts w:ascii="楷体_GB2312" w:hAnsi="宋体" w:eastAsia="楷体_GB2312"/>
          <w:b w:val="0"/>
          <w:bCs w:val="0"/>
          <w:color w:val="000000"/>
          <w:sz w:val="24"/>
          <w:highlight w:val="none"/>
        </w:rPr>
      </w:pPr>
      <w:r>
        <w:rPr>
          <w:rFonts w:hint="eastAsia" w:ascii="楷体_GB2312" w:hAnsi="宋体" w:eastAsia="楷体_GB2312"/>
          <w:b w:val="0"/>
          <w:bCs w:val="0"/>
          <w:color w:val="000000"/>
          <w:sz w:val="24"/>
          <w:highlight w:val="none"/>
        </w:rPr>
        <w:t>★</w:t>
      </w:r>
      <w:r>
        <w:rPr>
          <w:rFonts w:hint="eastAsia" w:ascii="楷体_GB2312" w:hAnsi="宋体" w:eastAsia="楷体_GB2312"/>
          <w:b w:val="0"/>
          <w:bCs w:val="0"/>
          <w:color w:val="000000"/>
          <w:sz w:val="24"/>
          <w:highlight w:val="none"/>
          <w:lang w:val="en-US" w:eastAsia="zh-CN"/>
        </w:rPr>
        <w:t>4</w:t>
      </w:r>
      <w:r>
        <w:rPr>
          <w:rFonts w:hint="eastAsia" w:ascii="楷体_GB2312" w:hAnsi="宋体" w:eastAsia="楷体_GB2312"/>
          <w:b w:val="0"/>
          <w:bCs w:val="0"/>
          <w:color w:val="000000"/>
          <w:sz w:val="24"/>
          <w:highlight w:val="none"/>
        </w:rPr>
        <w:t>.</w:t>
      </w:r>
      <w:r>
        <w:rPr>
          <w:rFonts w:hint="eastAsia" w:ascii="楷体_GB2312" w:hAnsi="宋体" w:eastAsia="楷体_GB2312"/>
          <w:b w:val="0"/>
          <w:bCs w:val="0"/>
          <w:color w:val="000000"/>
          <w:sz w:val="24"/>
          <w:highlight w:val="none"/>
          <w:lang w:val="en-US" w:eastAsia="zh-CN"/>
        </w:rPr>
        <w:t>本</w:t>
      </w:r>
      <w:r>
        <w:rPr>
          <w:rFonts w:ascii="楷体_GB2312" w:hAnsi="宋体" w:eastAsia="楷体_GB2312"/>
          <w:b w:val="0"/>
          <w:bCs w:val="0"/>
          <w:color w:val="000000"/>
          <w:sz w:val="24"/>
          <w:highlight w:val="none"/>
        </w:rPr>
        <w:t>理财产品存续期间，产品管理人若根据市场情况需调整投资范围、投资资产种类或投资比例的或需对已约定的收费项目、条件、标准和方式进行调整的，在不违反法律、法规、规章和监管规定的强制性规范的前提下，有权提前进行重大事项公告（高风险类型的理财产品超出比例范围投资较低风险资产的情况除外）。此种情况下产品管理人将开放赎回，具体以重大事项公告为准。</w:t>
      </w:r>
      <w:r>
        <w:rPr>
          <w:rFonts w:hint="eastAsia" w:ascii="楷体_GB2312" w:hAnsi="宋体" w:eastAsia="楷体_GB2312" w:cs="Times New Roman"/>
          <w:b/>
          <w:bCs/>
          <w:color w:val="000000"/>
          <w:sz w:val="24"/>
          <w:highlight w:val="none"/>
          <w:lang w:val="en-US" w:eastAsia="zh-CN"/>
        </w:rPr>
        <w:t>如</w:t>
      </w:r>
      <w:r>
        <w:rPr>
          <w:rFonts w:hint="eastAsia" w:ascii="楷体_GB2312" w:hAnsi="宋体" w:eastAsia="楷体_GB2312" w:cs="Times New Roman"/>
          <w:b/>
          <w:bCs/>
          <w:color w:val="000000"/>
          <w:sz w:val="24"/>
          <w:highlight w:val="none"/>
        </w:rPr>
        <w:t>投资者未</w:t>
      </w:r>
      <w:r>
        <w:rPr>
          <w:rFonts w:hint="eastAsia" w:ascii="楷体_GB2312" w:hAnsi="宋体" w:eastAsia="楷体_GB2312" w:cs="Times New Roman"/>
          <w:b/>
          <w:bCs/>
          <w:color w:val="000000"/>
          <w:sz w:val="24"/>
          <w:highlight w:val="none"/>
          <w:lang w:val="en-US" w:eastAsia="zh-CN"/>
        </w:rPr>
        <w:t>按照</w:t>
      </w:r>
      <w:r>
        <w:rPr>
          <w:rFonts w:hint="eastAsia" w:ascii="楷体_GB2312" w:hAnsi="宋体" w:eastAsia="楷体_GB2312" w:cs="Times New Roman"/>
          <w:b/>
          <w:bCs/>
          <w:color w:val="000000"/>
          <w:sz w:val="24"/>
          <w:highlight w:val="none"/>
        </w:rPr>
        <w:t>公告进行赎回操作的，视为投资者同意接受该等调整并按其执行。</w:t>
      </w:r>
    </w:p>
    <w:p w14:paraId="4DC42F74">
      <w:pPr>
        <w:ind w:firstLine="480" w:firstLineChars="200"/>
        <w:rPr>
          <w:rFonts w:ascii="楷体_GB2312" w:hAnsi="宋体" w:eastAsia="楷体_GB2312"/>
          <w:b w:val="0"/>
          <w:bCs w:val="0"/>
          <w:color w:val="000000"/>
          <w:sz w:val="24"/>
          <w:highlight w:val="none"/>
        </w:rPr>
      </w:pPr>
      <w:r>
        <w:rPr>
          <w:rFonts w:hint="eastAsia" w:ascii="楷体_GB2312" w:hAnsi="宋体" w:eastAsia="楷体_GB2312"/>
          <w:b w:val="0"/>
          <w:bCs w:val="0"/>
          <w:color w:val="000000"/>
          <w:sz w:val="24"/>
          <w:highlight w:val="none"/>
        </w:rPr>
        <w:t>★</w:t>
      </w:r>
      <w:r>
        <w:rPr>
          <w:rFonts w:hint="eastAsia" w:ascii="楷体_GB2312" w:hAnsi="宋体" w:eastAsia="楷体_GB2312"/>
          <w:b w:val="0"/>
          <w:bCs w:val="0"/>
          <w:color w:val="000000"/>
          <w:sz w:val="24"/>
          <w:highlight w:val="none"/>
          <w:lang w:val="en-US" w:eastAsia="zh-CN"/>
        </w:rPr>
        <w:t>5</w:t>
      </w:r>
      <w:r>
        <w:rPr>
          <w:rFonts w:hint="eastAsia" w:ascii="楷体_GB2312" w:hAnsi="宋体" w:eastAsia="楷体_GB2312"/>
          <w:b w:val="0"/>
          <w:bCs w:val="0"/>
          <w:color w:val="000000"/>
          <w:sz w:val="24"/>
          <w:highlight w:val="none"/>
        </w:rPr>
        <w:t>.</w:t>
      </w:r>
      <w:r>
        <w:rPr>
          <w:rFonts w:hint="eastAsia" w:ascii="楷体_GB2312" w:hAnsi="宋体" w:eastAsia="楷体_GB2312"/>
          <w:b w:val="0"/>
          <w:bCs w:val="0"/>
          <w:color w:val="000000"/>
          <w:sz w:val="24"/>
          <w:highlight w:val="none"/>
          <w:lang w:val="en-US" w:eastAsia="zh-CN"/>
        </w:rPr>
        <w:t>本</w:t>
      </w:r>
      <w:r>
        <w:rPr>
          <w:rFonts w:hint="eastAsia" w:ascii="楷体_GB2312" w:hAnsi="宋体" w:eastAsia="楷体_GB2312"/>
          <w:b w:val="0"/>
          <w:bCs w:val="0"/>
          <w:color w:val="000000"/>
          <w:sz w:val="24"/>
          <w:highlight w:val="none"/>
        </w:rPr>
        <w:t>理财产品存续期间，若因国家法律法规、监管规定发生变化，或出于维持本理财产品正常运营的需要，在不损害投资者利益的前提下，产品管理人有权单方面对</w:t>
      </w:r>
      <w:r>
        <w:rPr>
          <w:rFonts w:hint="eastAsia" w:ascii="楷体_GB2312" w:hAnsi="宋体" w:eastAsia="楷体_GB2312"/>
          <w:b w:val="0"/>
          <w:bCs w:val="0"/>
          <w:color w:val="000000"/>
          <w:sz w:val="24"/>
          <w:highlight w:val="none"/>
          <w:lang w:val="en-US" w:eastAsia="zh-CN"/>
        </w:rPr>
        <w:t>本</w:t>
      </w:r>
      <w:r>
        <w:rPr>
          <w:rFonts w:hint="eastAsia" w:ascii="楷体_GB2312" w:hAnsi="宋体" w:eastAsia="楷体_GB2312"/>
          <w:b w:val="0"/>
          <w:bCs w:val="0"/>
          <w:color w:val="000000"/>
          <w:sz w:val="24"/>
          <w:highlight w:val="none"/>
        </w:rPr>
        <w:t>理财产品</w:t>
      </w:r>
      <w:r>
        <w:rPr>
          <w:rFonts w:hint="eastAsia" w:ascii="楷体_GB2312" w:hAnsi="宋体" w:eastAsia="楷体_GB2312"/>
          <w:b w:val="0"/>
          <w:bCs w:val="0"/>
          <w:color w:val="000000"/>
          <w:sz w:val="24"/>
          <w:highlight w:val="none"/>
          <w:lang w:val="en-US" w:eastAsia="zh-CN"/>
        </w:rPr>
        <w:t>销售文件</w:t>
      </w:r>
      <w:r>
        <w:rPr>
          <w:rFonts w:hint="eastAsia" w:ascii="楷体_GB2312" w:hAnsi="宋体" w:eastAsia="楷体_GB2312"/>
          <w:b w:val="0"/>
          <w:bCs w:val="0"/>
          <w:color w:val="000000"/>
          <w:sz w:val="24"/>
          <w:highlight w:val="none"/>
        </w:rPr>
        <w:t>进行修订，并提前</w:t>
      </w:r>
      <w:r>
        <w:rPr>
          <w:rFonts w:hint="default" w:ascii="楷体_GB2312" w:hAnsi="宋体" w:eastAsia="楷体_GB2312"/>
          <w:b w:val="0"/>
          <w:bCs w:val="0"/>
          <w:color w:val="000000"/>
          <w:sz w:val="24"/>
          <w:highlight w:val="none"/>
          <w:lang w:val="en-US"/>
        </w:rPr>
        <w:t>1</w:t>
      </w:r>
      <w:r>
        <w:rPr>
          <w:rFonts w:hint="eastAsia" w:ascii="楷体_GB2312" w:hAnsi="宋体" w:eastAsia="楷体_GB2312"/>
          <w:b w:val="0"/>
          <w:bCs w:val="0"/>
          <w:color w:val="000000"/>
          <w:sz w:val="24"/>
          <w:highlight w:val="none"/>
          <w:lang w:val="en-US" w:eastAsia="zh-CN"/>
        </w:rPr>
        <w:t>个工作日</w:t>
      </w:r>
      <w:r>
        <w:rPr>
          <w:rFonts w:hint="eastAsia" w:ascii="楷体_GB2312" w:hAnsi="宋体" w:eastAsia="楷体_GB2312"/>
          <w:b w:val="0"/>
          <w:bCs w:val="0"/>
          <w:color w:val="000000"/>
          <w:sz w:val="24"/>
          <w:highlight w:val="none"/>
        </w:rPr>
        <w:t>进行公告。投资者在此同意修订后的理财产品</w:t>
      </w:r>
      <w:r>
        <w:rPr>
          <w:rFonts w:hint="eastAsia" w:ascii="楷体_GB2312" w:hAnsi="宋体" w:eastAsia="楷体_GB2312"/>
          <w:b w:val="0"/>
          <w:bCs w:val="0"/>
          <w:color w:val="000000"/>
          <w:sz w:val="24"/>
          <w:highlight w:val="none"/>
          <w:lang w:val="en-US" w:eastAsia="zh-CN"/>
        </w:rPr>
        <w:t>销售文件</w:t>
      </w:r>
      <w:r>
        <w:rPr>
          <w:rFonts w:hint="eastAsia" w:ascii="楷体_GB2312" w:hAnsi="宋体" w:eastAsia="楷体_GB2312"/>
          <w:b w:val="0"/>
          <w:bCs w:val="0"/>
          <w:color w:val="000000"/>
          <w:sz w:val="24"/>
          <w:highlight w:val="none"/>
        </w:rPr>
        <w:t>对投资者具有法律约束力。</w:t>
      </w:r>
    </w:p>
    <w:p w14:paraId="4447CD0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★（二）对于在本理财产品</w:t>
      </w:r>
      <w:r>
        <w:rPr>
          <w:rFonts w:hint="eastAsia" w:ascii="楷体_GB2312" w:hAnsi="宋体" w:eastAsia="楷体_GB2312"/>
          <w:color w:val="000000"/>
          <w:sz w:val="24"/>
          <w:highlight w:val="none"/>
          <w:lang w:val="en-US" w:eastAsia="zh-CN"/>
        </w:rPr>
        <w:t>销售文件</w:t>
      </w:r>
      <w:r>
        <w:rPr>
          <w:rFonts w:hint="eastAsia" w:ascii="楷体_GB2312" w:hAnsi="宋体" w:eastAsia="楷体_GB2312"/>
          <w:color w:val="000000"/>
          <w:sz w:val="24"/>
          <w:highlight w:val="none"/>
        </w:rPr>
        <w:t>签订和履行过程中获取和知悉的投资者的未公开信息和资料，产品管理人对上述信息和资料的使用不得违反法律法规和监管要求，并依法承担保密责任，不得向第三方披露该等信息和资料，但下列情形除外：</w:t>
      </w:r>
    </w:p>
    <w:p w14:paraId="15158D31">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1.</w:t>
      </w:r>
      <w:r>
        <w:rPr>
          <w:rFonts w:hint="eastAsia" w:ascii="楷体_GB2312" w:hAnsi="宋体" w:eastAsia="楷体_GB2312"/>
          <w:color w:val="000000"/>
          <w:sz w:val="24"/>
          <w:highlight w:val="none"/>
        </w:rPr>
        <w:t>适用的法律法规要求披露的。</w:t>
      </w:r>
      <w:r>
        <w:rPr>
          <w:rFonts w:ascii="楷体_GB2312" w:hAnsi="宋体" w:eastAsia="楷体_GB2312"/>
          <w:color w:val="000000"/>
          <w:sz w:val="24"/>
          <w:highlight w:val="none"/>
        </w:rPr>
        <w:t xml:space="preserve"> </w:t>
      </w:r>
    </w:p>
    <w:p w14:paraId="664EFA5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2.司法部门、监管机构等依法要求披露及报送的。</w:t>
      </w:r>
      <w:r>
        <w:rPr>
          <w:rFonts w:ascii="楷体_GB2312" w:hAnsi="宋体" w:eastAsia="楷体_GB2312"/>
          <w:color w:val="000000"/>
          <w:sz w:val="24"/>
          <w:highlight w:val="none"/>
        </w:rPr>
        <w:t xml:space="preserve"> </w:t>
      </w:r>
    </w:p>
    <w:p w14:paraId="48AC31A9">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3.产品管理人为履行本理财产品</w:t>
      </w:r>
      <w:r>
        <w:rPr>
          <w:rFonts w:hint="eastAsia" w:ascii="楷体_GB2312" w:hAnsi="宋体" w:eastAsia="楷体_GB2312"/>
          <w:color w:val="000000"/>
          <w:sz w:val="24"/>
          <w:highlight w:val="none"/>
          <w:lang w:val="en-US" w:eastAsia="zh-CN"/>
        </w:rPr>
        <w:t>销售文件</w:t>
      </w:r>
      <w:r>
        <w:rPr>
          <w:rFonts w:hint="eastAsia" w:ascii="楷体_GB2312" w:hAnsi="宋体" w:eastAsia="楷体_GB2312"/>
          <w:color w:val="000000"/>
          <w:sz w:val="24"/>
          <w:highlight w:val="none"/>
        </w:rPr>
        <w:t>义务及行使</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w:t>
      </w:r>
      <w:r>
        <w:rPr>
          <w:rFonts w:hint="eastAsia" w:ascii="楷体_GB2312" w:hAnsi="宋体" w:eastAsia="楷体_GB2312"/>
          <w:color w:val="000000"/>
          <w:sz w:val="24"/>
          <w:highlight w:val="none"/>
          <w:lang w:val="en-US" w:eastAsia="zh-CN"/>
        </w:rPr>
        <w:t>销售文件</w:t>
      </w:r>
      <w:r>
        <w:rPr>
          <w:rFonts w:hint="eastAsia" w:ascii="楷体_GB2312" w:hAnsi="宋体" w:eastAsia="楷体_GB2312"/>
          <w:color w:val="000000"/>
          <w:sz w:val="24"/>
          <w:highlight w:val="none"/>
        </w:rPr>
        <w:t>项下权利需向外部专业顾问或理财投资合作机构披露或允许外部专业顾问或理财投资合作机构在保密的基础上使用的。</w:t>
      </w:r>
    </w:p>
    <w:p w14:paraId="21C884C0">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4.投资者另行明确同意或授权产品管理人进行披露的。</w:t>
      </w:r>
    </w:p>
    <w:p w14:paraId="2708AF9E">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投资者知晓并同意：产品管理人根据适用的法律法规、监管规定对投资者及</w:t>
      </w:r>
      <w:r>
        <w:rPr>
          <w:rFonts w:hint="eastAsia" w:ascii="楷体_GB2312" w:hAnsi="宋体" w:eastAsia="楷体_GB2312"/>
          <w:color w:val="000000"/>
          <w:sz w:val="24"/>
          <w:highlight w:val="none"/>
          <w:lang w:val="en-US" w:eastAsia="zh-CN"/>
        </w:rPr>
        <w:t>其</w:t>
      </w:r>
      <w:r>
        <w:rPr>
          <w:rFonts w:hint="eastAsia" w:ascii="楷体_GB2312" w:hAnsi="宋体" w:eastAsia="楷体_GB2312"/>
          <w:color w:val="000000"/>
          <w:sz w:val="24"/>
          <w:highlight w:val="none"/>
        </w:rPr>
        <w:t>持有</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理财产品的相关信息进行登记，并传输给银行业理财登记托管中心。</w:t>
      </w:r>
    </w:p>
    <w:p w14:paraId="34963B1E">
      <w:pPr>
        <w:ind w:firstLine="482" w:firstLineChars="200"/>
        <w:rPr>
          <w:rFonts w:ascii="楷体_GB2312" w:hAnsi="宋体" w:eastAsia="楷体_GB2312"/>
          <w:b/>
          <w:color w:val="000000"/>
          <w:sz w:val="24"/>
          <w:highlight w:val="none"/>
        </w:rPr>
      </w:pPr>
      <w:r>
        <w:rPr>
          <w:rFonts w:hint="eastAsia" w:ascii="楷体_GB2312" w:hAnsi="宋体" w:eastAsia="楷体_GB2312"/>
          <w:b/>
          <w:color w:val="000000"/>
          <w:sz w:val="24"/>
          <w:highlight w:val="none"/>
        </w:rPr>
        <w:t>十</w:t>
      </w:r>
      <w:r>
        <w:rPr>
          <w:rFonts w:hint="eastAsia" w:ascii="楷体_GB2312" w:hAnsi="宋体" w:eastAsia="楷体_GB2312"/>
          <w:b/>
          <w:color w:val="000000"/>
          <w:sz w:val="24"/>
          <w:highlight w:val="none"/>
          <w:lang w:val="en-US" w:eastAsia="zh-CN"/>
        </w:rPr>
        <w:t>一</w:t>
      </w:r>
      <w:r>
        <w:rPr>
          <w:rFonts w:hint="eastAsia" w:ascii="楷体_GB2312" w:hAnsi="宋体" w:eastAsia="楷体_GB2312"/>
          <w:b/>
          <w:color w:val="000000"/>
          <w:sz w:val="24"/>
          <w:highlight w:val="none"/>
        </w:rPr>
        <w:t>、相关机构的概况</w:t>
      </w:r>
    </w:p>
    <w:p w14:paraId="496F8F19">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（一）</w:t>
      </w:r>
      <w:r>
        <w:rPr>
          <w:rFonts w:hint="eastAsia" w:ascii="楷体_GB2312" w:hAnsi="宋体" w:eastAsia="楷体_GB2312"/>
          <w:color w:val="000000"/>
          <w:sz w:val="24"/>
          <w:highlight w:val="none"/>
        </w:rPr>
        <w:t>产品托管机构的基本信息和主要职责</w:t>
      </w:r>
    </w:p>
    <w:p w14:paraId="022515FC">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w:t>
      </w:r>
      <w:r>
        <w:rPr>
          <w:rFonts w:hint="eastAsia" w:ascii="楷体_GB2312" w:hAnsi="宋体" w:eastAsia="楷体_GB2312"/>
          <w:color w:val="000000"/>
          <w:sz w:val="24"/>
          <w:highlight w:val="none"/>
          <w:lang w:val="en-US" w:eastAsia="zh-CN"/>
        </w:rPr>
        <w:t>产品</w:t>
      </w:r>
      <w:r>
        <w:rPr>
          <w:rFonts w:ascii="楷体_GB2312" w:hAnsi="宋体" w:eastAsia="楷体_GB2312"/>
          <w:color w:val="000000"/>
          <w:sz w:val="24"/>
          <w:highlight w:val="none"/>
        </w:rPr>
        <w:t>托管</w:t>
      </w:r>
      <w:r>
        <w:rPr>
          <w:rFonts w:hint="eastAsia" w:ascii="楷体_GB2312" w:hAnsi="宋体" w:eastAsia="楷体_GB2312"/>
          <w:color w:val="000000"/>
          <w:sz w:val="24"/>
          <w:highlight w:val="none"/>
          <w:lang w:val="en-US" w:eastAsia="zh-CN"/>
        </w:rPr>
        <w:t>人</w:t>
      </w:r>
      <w:r>
        <w:rPr>
          <w:rFonts w:ascii="楷体_GB2312" w:hAnsi="宋体" w:eastAsia="楷体_GB2312"/>
          <w:color w:val="000000"/>
          <w:sz w:val="24"/>
          <w:highlight w:val="none"/>
        </w:rPr>
        <w:t>基本信息</w:t>
      </w:r>
    </w:p>
    <w:p w14:paraId="3E73F498">
      <w:pPr>
        <w:ind w:firstLine="480" w:firstLineChars="200"/>
        <w:rPr>
          <w:rFonts w:ascii="楷体_GB2312" w:hAnsi="宋体" w:eastAsia="楷体_GB2312"/>
          <w:color w:val="000000"/>
          <w:sz w:val="24"/>
        </w:rPr>
      </w:pPr>
      <w:r>
        <w:rPr>
          <w:rFonts w:hint="eastAsia" w:ascii="楷体_GB2312" w:hAnsi="宋体" w:eastAsia="楷体_GB2312"/>
          <w:color w:val="000000"/>
          <w:sz w:val="24"/>
          <w:lang w:val="en-US" w:eastAsia="zh-CN"/>
        </w:rPr>
        <w:t>产品</w:t>
      </w:r>
      <w:r>
        <w:rPr>
          <w:rFonts w:hint="eastAsia" w:ascii="楷体_GB2312" w:hAnsi="宋体" w:eastAsia="楷体_GB2312"/>
          <w:color w:val="000000"/>
          <w:sz w:val="24"/>
        </w:rPr>
        <w:t>托管人名称：北京银行股份有限公司</w:t>
      </w:r>
    </w:p>
    <w:p w14:paraId="4B9582DF">
      <w:pPr>
        <w:ind w:firstLine="480" w:firstLineChars="200"/>
        <w:rPr>
          <w:rFonts w:ascii="楷体_GB2312" w:hAnsi="宋体" w:eastAsia="楷体_GB2312"/>
          <w:color w:val="000000"/>
          <w:sz w:val="24"/>
        </w:rPr>
      </w:pPr>
      <w:r>
        <w:rPr>
          <w:rFonts w:hint="eastAsia" w:ascii="楷体_GB2312" w:hAnsi="宋体" w:eastAsia="楷体_GB2312"/>
          <w:color w:val="000000"/>
          <w:sz w:val="24"/>
        </w:rPr>
        <w:t>法定代表人：霍学文</w:t>
      </w:r>
    </w:p>
    <w:p w14:paraId="50319935">
      <w:pPr>
        <w:ind w:firstLine="480" w:firstLineChars="200"/>
        <w:rPr>
          <w:rFonts w:ascii="楷体_GB2312" w:hAnsi="宋体" w:eastAsia="楷体_GB2312"/>
          <w:color w:val="000000"/>
          <w:sz w:val="24"/>
        </w:rPr>
      </w:pPr>
      <w:r>
        <w:rPr>
          <w:rFonts w:hint="eastAsia" w:ascii="楷体_GB2312" w:hAnsi="宋体" w:eastAsia="楷体_GB2312"/>
          <w:color w:val="000000"/>
          <w:sz w:val="24"/>
        </w:rPr>
        <w:t>注册地址：北京市西城区金融大街甲</w:t>
      </w:r>
      <w:r>
        <w:rPr>
          <w:rFonts w:ascii="楷体_GB2312" w:hAnsi="宋体" w:eastAsia="楷体_GB2312"/>
          <w:color w:val="000000"/>
          <w:sz w:val="24"/>
        </w:rPr>
        <w:t>17</w:t>
      </w:r>
      <w:r>
        <w:rPr>
          <w:rFonts w:hint="eastAsia" w:ascii="楷体_GB2312" w:hAnsi="宋体" w:eastAsia="楷体_GB2312"/>
          <w:color w:val="000000"/>
          <w:sz w:val="24"/>
        </w:rPr>
        <w:t>号首层</w:t>
      </w:r>
    </w:p>
    <w:p w14:paraId="56F9EC0A">
      <w:pPr>
        <w:ind w:firstLine="480" w:firstLineChars="200"/>
        <w:rPr>
          <w:rFonts w:hint="eastAsia" w:ascii="楷体_GB2312" w:hAnsi="宋体" w:eastAsia="楷体_GB2312"/>
          <w:color w:val="auto"/>
          <w:sz w:val="24"/>
          <w:highlight w:val="none"/>
          <w:lang w:val="en-US" w:eastAsia="zh-CN"/>
        </w:rPr>
      </w:pPr>
      <w:r>
        <w:rPr>
          <w:rFonts w:hint="eastAsia" w:ascii="楷体_GB2312" w:hAnsi="宋体" w:eastAsia="楷体_GB2312"/>
          <w:color w:val="auto"/>
          <w:sz w:val="24"/>
          <w:highlight w:val="none"/>
        </w:rPr>
        <w:t>产品管理人在此特别披露：</w:t>
      </w:r>
      <w:r>
        <w:rPr>
          <w:rFonts w:hint="eastAsia" w:ascii="楷体_GB2312" w:hAnsi="宋体" w:eastAsia="楷体_GB2312"/>
          <w:color w:val="auto"/>
          <w:sz w:val="24"/>
          <w:highlight w:val="none"/>
          <w:lang w:val="en-US" w:eastAsia="zh-CN"/>
        </w:rPr>
        <w:t>产品</w:t>
      </w:r>
      <w:r>
        <w:rPr>
          <w:rFonts w:hint="eastAsia" w:ascii="楷体_GB2312" w:hAnsi="宋体" w:eastAsia="楷体_GB2312"/>
          <w:color w:val="auto"/>
          <w:sz w:val="24"/>
          <w:highlight w:val="none"/>
        </w:rPr>
        <w:t>托管人为产品管理人的关联方，产品管理人聘请其担任</w:t>
      </w:r>
      <w:r>
        <w:rPr>
          <w:rFonts w:hint="eastAsia" w:ascii="楷体_GB2312" w:hAnsi="宋体" w:eastAsia="楷体_GB2312"/>
          <w:color w:val="auto"/>
          <w:sz w:val="24"/>
          <w:lang w:eastAsia="zh-CN"/>
        </w:rPr>
        <w:t>产品</w:t>
      </w:r>
      <w:r>
        <w:rPr>
          <w:rFonts w:hint="eastAsia" w:ascii="楷体_GB2312" w:hAnsi="宋体" w:eastAsia="楷体_GB2312"/>
          <w:color w:val="auto"/>
          <w:sz w:val="24"/>
          <w:highlight w:val="none"/>
        </w:rPr>
        <w:t>托管人已履行了现行法律法规和监管规定所规定必须履行的程序,产品管理人、投资者同意并接受</w:t>
      </w:r>
      <w:r>
        <w:rPr>
          <w:rFonts w:hint="eastAsia" w:ascii="楷体_GB2312" w:hAnsi="宋体" w:eastAsia="楷体_GB2312"/>
          <w:color w:val="auto"/>
          <w:sz w:val="24"/>
          <w:highlight w:val="none"/>
          <w:lang w:val="en-US" w:eastAsia="zh-CN"/>
        </w:rPr>
        <w:t>本</w:t>
      </w:r>
      <w:r>
        <w:rPr>
          <w:rFonts w:hint="eastAsia" w:ascii="楷体_GB2312" w:hAnsi="宋体" w:eastAsia="楷体_GB2312"/>
          <w:color w:val="auto"/>
          <w:sz w:val="24"/>
          <w:highlight w:val="none"/>
        </w:rPr>
        <w:t>理财产品由</w:t>
      </w:r>
      <w:r>
        <w:rPr>
          <w:rFonts w:hint="eastAsia" w:ascii="楷体_GB2312" w:hAnsi="宋体" w:eastAsia="楷体_GB2312"/>
          <w:color w:val="auto"/>
          <w:sz w:val="24"/>
          <w:lang w:eastAsia="zh-CN"/>
        </w:rPr>
        <w:t>产品</w:t>
      </w:r>
      <w:r>
        <w:rPr>
          <w:rFonts w:hint="eastAsia" w:ascii="楷体_GB2312" w:hAnsi="宋体" w:eastAsia="楷体_GB2312"/>
          <w:color w:val="auto"/>
          <w:sz w:val="24"/>
          <w:highlight w:val="none"/>
        </w:rPr>
        <w:t>托管人托管</w:t>
      </w:r>
      <w:r>
        <w:rPr>
          <w:rFonts w:hint="eastAsia" w:ascii="楷体_GB2312" w:hAnsi="宋体" w:eastAsia="楷体_GB2312"/>
          <w:color w:val="auto"/>
          <w:sz w:val="24"/>
          <w:highlight w:val="none"/>
          <w:lang w:eastAsia="zh-CN"/>
        </w:rPr>
        <w:t>。</w:t>
      </w:r>
    </w:p>
    <w:p w14:paraId="5EA25EB3">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w:t>
      </w:r>
      <w:r>
        <w:rPr>
          <w:rFonts w:hint="eastAsia" w:ascii="楷体_GB2312" w:hAnsi="宋体" w:eastAsia="楷体_GB2312"/>
          <w:color w:val="000000"/>
          <w:sz w:val="24"/>
          <w:highlight w:val="none"/>
          <w:lang w:val="en-US" w:eastAsia="zh-CN"/>
        </w:rPr>
        <w:t>产品</w:t>
      </w:r>
      <w:r>
        <w:rPr>
          <w:rFonts w:hint="eastAsia" w:ascii="楷体_GB2312" w:hAnsi="宋体" w:eastAsia="楷体_GB2312"/>
          <w:color w:val="000000"/>
          <w:sz w:val="24"/>
          <w:highlight w:val="none"/>
        </w:rPr>
        <w:t>托管</w:t>
      </w:r>
      <w:r>
        <w:rPr>
          <w:rFonts w:hint="eastAsia" w:ascii="楷体_GB2312" w:hAnsi="宋体" w:eastAsia="楷体_GB2312"/>
          <w:color w:val="000000"/>
          <w:sz w:val="24"/>
          <w:highlight w:val="none"/>
          <w:lang w:val="en-US" w:eastAsia="zh-CN"/>
        </w:rPr>
        <w:t>人</w:t>
      </w:r>
      <w:r>
        <w:rPr>
          <w:rFonts w:hint="eastAsia" w:ascii="楷体_GB2312" w:hAnsi="宋体" w:eastAsia="楷体_GB2312"/>
          <w:color w:val="000000"/>
          <w:sz w:val="24"/>
          <w:highlight w:val="none"/>
        </w:rPr>
        <w:t>主要职责</w:t>
      </w:r>
    </w:p>
    <w:p w14:paraId="3CD0506B">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w:t>
      </w:r>
      <w:r>
        <w:rPr>
          <w:rFonts w:ascii="楷体_GB2312" w:hAnsi="宋体" w:eastAsia="楷体_GB2312"/>
          <w:color w:val="000000"/>
          <w:sz w:val="24"/>
          <w:highlight w:val="none"/>
        </w:rPr>
        <w:t>1）</w:t>
      </w:r>
      <w:r>
        <w:rPr>
          <w:rFonts w:hint="eastAsia" w:ascii="楷体_GB2312" w:hAnsi="宋体" w:eastAsia="楷体_GB2312"/>
          <w:color w:val="000000"/>
          <w:sz w:val="24"/>
          <w:highlight w:val="none"/>
        </w:rPr>
        <w:t>安全保管</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理财产品财产；</w:t>
      </w:r>
    </w:p>
    <w:p w14:paraId="7E51D005">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为</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理财产品开立银行托管账户、证券账户等；</w:t>
      </w:r>
    </w:p>
    <w:p w14:paraId="5206D1B4">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（3</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确认与执行</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理财产品资金划拨指令，办理</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理财产品资金的收付，核对</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理财产品资金划拨记录；</w:t>
      </w:r>
    </w:p>
    <w:p w14:paraId="275EC1E9">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（4</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建立与</w:t>
      </w:r>
      <w:r>
        <w:rPr>
          <w:rFonts w:hint="eastAsia" w:ascii="楷体_GB2312" w:hAnsi="宋体" w:eastAsia="楷体_GB2312"/>
          <w:color w:val="000000"/>
          <w:sz w:val="24"/>
          <w:highlight w:val="none"/>
          <w:lang w:eastAsia="zh-CN"/>
        </w:rPr>
        <w:t>产品管理人</w:t>
      </w:r>
      <w:r>
        <w:rPr>
          <w:rFonts w:hint="eastAsia" w:ascii="楷体_GB2312" w:hAnsi="宋体" w:eastAsia="楷体_GB2312"/>
          <w:color w:val="000000"/>
          <w:sz w:val="24"/>
          <w:highlight w:val="none"/>
        </w:rPr>
        <w:t>的对账机制，复核</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理财产品资产净值、</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理财产品份额申购、赎回价格，及时核查投资资金的支付和到账情况；</w:t>
      </w:r>
    </w:p>
    <w:p w14:paraId="6D58A0F4">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（5</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监督</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理财产品投资运作；</w:t>
      </w:r>
    </w:p>
    <w:p w14:paraId="1A7509B9">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（6</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办理与</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理财产品托管业务活动相关的信息披露事项；</w:t>
      </w:r>
    </w:p>
    <w:p w14:paraId="4FE7B6A0">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（7</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保存</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理财产品托管业务活动的记录、账册、报表和其他相关材料；</w:t>
      </w:r>
    </w:p>
    <w:p w14:paraId="7E93299A">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（8</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对</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理财产品投资信息和相关资料承担保密责任；</w:t>
      </w:r>
    </w:p>
    <w:p w14:paraId="56C22FDE">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（9</w:t>
      </w:r>
      <w:r>
        <w:rPr>
          <w:rFonts w:ascii="楷体_GB2312" w:hAnsi="宋体" w:eastAsia="楷体_GB2312"/>
          <w:color w:val="000000"/>
          <w:sz w:val="24"/>
          <w:highlight w:val="none"/>
        </w:rPr>
        <w:t>）</w:t>
      </w:r>
      <w:bookmarkStart w:id="5" w:name="_Hlk146059360"/>
      <w:r>
        <w:rPr>
          <w:rFonts w:hint="eastAsia" w:ascii="楷体_GB2312" w:hAnsi="宋体" w:eastAsia="楷体_GB2312"/>
          <w:color w:val="000000"/>
          <w:sz w:val="24"/>
          <w:highlight w:val="none"/>
        </w:rPr>
        <w:t>法律法规规定、</w:t>
      </w:r>
      <w:bookmarkEnd w:id="5"/>
      <w:r>
        <w:rPr>
          <w:rFonts w:hint="eastAsia" w:ascii="楷体_GB2312" w:hAnsi="宋体" w:eastAsia="楷体_GB2312"/>
          <w:color w:val="000000"/>
          <w:sz w:val="24"/>
          <w:highlight w:val="none"/>
        </w:rPr>
        <w:t>国务院银行业监督管理机构规定</w:t>
      </w:r>
      <w:bookmarkStart w:id="6" w:name="_Hlk146059365"/>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产品管理人和托管机构另行签订的托管协议约定，以</w:t>
      </w:r>
      <w:r>
        <w:rPr>
          <w:rFonts w:hint="eastAsia" w:ascii="楷体_GB2312" w:hAnsi="宋体" w:eastAsia="楷体_GB2312"/>
          <w:color w:val="000000"/>
          <w:sz w:val="24"/>
          <w:highlight w:val="none"/>
        </w:rPr>
        <w:t>及</w:t>
      </w:r>
      <w:r>
        <w:rPr>
          <w:rFonts w:hint="eastAsia" w:ascii="楷体_GB2312" w:hAnsi="宋体" w:eastAsia="楷体_GB2312"/>
          <w:color w:val="000000"/>
          <w:sz w:val="24"/>
          <w:highlight w:val="none"/>
          <w:lang w:eastAsia="zh-CN"/>
        </w:rPr>
        <w:t>本</w:t>
      </w:r>
      <w:r>
        <w:rPr>
          <w:rFonts w:hint="eastAsia" w:ascii="楷体_GB2312" w:hAnsi="宋体" w:eastAsia="楷体_GB2312"/>
          <w:color w:val="000000"/>
          <w:sz w:val="24"/>
          <w:highlight w:val="none"/>
        </w:rPr>
        <w:t>理财产品销售文件约定</w:t>
      </w:r>
      <w:bookmarkEnd w:id="6"/>
      <w:r>
        <w:rPr>
          <w:rFonts w:hint="eastAsia" w:ascii="楷体_GB2312" w:hAnsi="宋体" w:eastAsia="楷体_GB2312"/>
          <w:color w:val="000000"/>
          <w:sz w:val="24"/>
          <w:highlight w:val="none"/>
        </w:rPr>
        <w:t>的其他职责。</w:t>
      </w:r>
    </w:p>
    <w:p w14:paraId="2F5D82D4">
      <w:pPr>
        <w:ind w:firstLine="480" w:firstLineChars="200"/>
        <w:rPr>
          <w:rFonts w:ascii="楷体_GB2312" w:hAnsi="宋体" w:eastAsia="楷体_GB2312"/>
          <w:color w:val="000000"/>
          <w:sz w:val="24"/>
          <w:highlight w:val="none"/>
        </w:rPr>
      </w:pPr>
      <w:r>
        <w:rPr>
          <w:rFonts w:ascii="楷体_GB2312" w:hAnsi="宋体" w:eastAsia="楷体_GB2312"/>
          <w:color w:val="000000"/>
          <w:sz w:val="24"/>
          <w:highlight w:val="none"/>
        </w:rPr>
        <w:t>（</w:t>
      </w:r>
      <w:r>
        <w:rPr>
          <w:rFonts w:hint="eastAsia" w:ascii="楷体_GB2312" w:hAnsi="宋体" w:eastAsia="楷体_GB2312"/>
          <w:color w:val="000000"/>
          <w:sz w:val="24"/>
          <w:highlight w:val="none"/>
        </w:rPr>
        <w:t>二</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产品代销机构的基本信息和主要职责</w:t>
      </w:r>
    </w:p>
    <w:p w14:paraId="3F427EB6">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1.代销机构基本信息</w:t>
      </w:r>
    </w:p>
    <w:p w14:paraId="481876FB">
      <w:pPr>
        <w:ind w:firstLine="480" w:firstLineChars="200"/>
        <w:rPr>
          <w:rFonts w:hint="eastAsia" w:ascii="楷体_GB2312" w:hAnsi="宋体" w:eastAsia="楷体_GB2312"/>
          <w:color w:val="000000"/>
          <w:sz w:val="24"/>
        </w:rPr>
      </w:pPr>
      <w:r>
        <w:rPr>
          <w:rFonts w:hint="eastAsia" w:ascii="楷体_GB2312" w:eastAsia="楷体_GB2312"/>
          <w:bCs/>
          <w:color w:val="auto"/>
          <w:sz w:val="24"/>
          <w:highlight w:val="none"/>
          <w:lang w:val="en-US" w:eastAsia="zh-CN"/>
        </w:rPr>
        <w:t>A类份额</w:t>
      </w:r>
      <w:r>
        <w:rPr>
          <w:rFonts w:hint="eastAsia" w:ascii="楷体_GB2312" w:hAnsi="宋体" w:eastAsia="楷体_GB2312"/>
          <w:color w:val="000000"/>
          <w:sz w:val="24"/>
        </w:rPr>
        <w:t>代销机构名称：</w:t>
      </w:r>
      <w:r>
        <w:rPr>
          <w:rFonts w:hint="eastAsia" w:ascii="楷体_GB2312" w:hAnsi="宋体" w:eastAsia="楷体_GB2312"/>
          <w:color w:val="000000"/>
          <w:sz w:val="24"/>
          <w:lang w:val="en-US" w:eastAsia="zh-CN"/>
        </w:rPr>
        <w:t>绍兴银行股份有限公司</w:t>
      </w:r>
    </w:p>
    <w:p w14:paraId="38B20D8E">
      <w:pPr>
        <w:ind w:firstLine="480" w:firstLineChars="200"/>
        <w:rPr>
          <w:rFonts w:hint="eastAsia" w:ascii="楷体_GB2312" w:hAnsi="宋体" w:eastAsia="楷体_GB2312"/>
          <w:color w:val="000000"/>
          <w:sz w:val="24"/>
        </w:rPr>
      </w:pPr>
      <w:r>
        <w:rPr>
          <w:rFonts w:hint="eastAsia" w:ascii="楷体_GB2312" w:hAnsi="宋体" w:eastAsia="楷体_GB2312"/>
          <w:color w:val="000000"/>
          <w:sz w:val="24"/>
          <w:lang w:val="en-US" w:eastAsia="zh-CN"/>
        </w:rPr>
        <w:t>法定代表人：金建康</w:t>
      </w:r>
    </w:p>
    <w:p w14:paraId="416B5221">
      <w:pPr>
        <w:ind w:firstLine="480" w:firstLineChars="200"/>
        <w:rPr>
          <w:rFonts w:hint="eastAsia" w:ascii="楷体_GB2312" w:hAnsi="宋体" w:eastAsia="楷体_GB2312"/>
          <w:color w:val="000000"/>
          <w:sz w:val="24"/>
        </w:rPr>
      </w:pPr>
      <w:r>
        <w:rPr>
          <w:rFonts w:hint="eastAsia" w:ascii="楷体_GB2312" w:hAnsi="宋体" w:eastAsia="楷体_GB2312"/>
          <w:color w:val="000000"/>
          <w:sz w:val="24"/>
          <w:lang w:val="en-US" w:eastAsia="zh-CN"/>
        </w:rPr>
        <w:t>注册地址：浙江省绍兴市中兴南路1号</w:t>
      </w:r>
    </w:p>
    <w:p w14:paraId="5DC77BFF">
      <w:pPr>
        <w:ind w:firstLine="480" w:firstLineChars="200"/>
        <w:rPr>
          <w:rFonts w:hint="default" w:ascii="楷体_GB2312" w:hAnsi="宋体" w:eastAsia="楷体_GB2312"/>
          <w:color w:val="000000"/>
          <w:sz w:val="24"/>
          <w:lang w:val="en-US"/>
        </w:rPr>
      </w:pPr>
      <w:r>
        <w:rPr>
          <w:rFonts w:hint="eastAsia" w:ascii="楷体_GB2312" w:hAnsi="宋体" w:eastAsia="楷体_GB2312"/>
          <w:color w:val="000000"/>
          <w:sz w:val="24"/>
          <w:lang w:val="en-US" w:eastAsia="zh-CN"/>
        </w:rPr>
        <w:t>服务热线：0575-96528</w:t>
      </w:r>
    </w:p>
    <w:p w14:paraId="63D9E54E">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lang w:val="en-US" w:eastAsia="zh-CN"/>
        </w:rPr>
        <w:t>2.</w:t>
      </w:r>
      <w:r>
        <w:rPr>
          <w:rFonts w:hint="eastAsia" w:ascii="楷体_GB2312" w:hAnsi="宋体" w:eastAsia="楷体_GB2312"/>
          <w:color w:val="000000"/>
          <w:sz w:val="24"/>
          <w:highlight w:val="none"/>
        </w:rPr>
        <w:t>代销机构主要职责</w:t>
      </w:r>
    </w:p>
    <w:p w14:paraId="4689711E">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w:t>
      </w:r>
      <w:r>
        <w:rPr>
          <w:rFonts w:ascii="楷体_GB2312" w:hAnsi="宋体" w:eastAsia="楷体_GB2312"/>
          <w:color w:val="000000"/>
          <w:sz w:val="24"/>
          <w:highlight w:val="none"/>
        </w:rPr>
        <w:t>1）</w:t>
      </w:r>
      <w:r>
        <w:rPr>
          <w:rFonts w:hint="eastAsia" w:ascii="楷体_GB2312" w:hAnsi="宋体" w:eastAsia="楷体_GB2312"/>
          <w:color w:val="000000"/>
          <w:sz w:val="24"/>
          <w:highlight w:val="none"/>
        </w:rPr>
        <w:t>宣传推介</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w:t>
      </w:r>
    </w:p>
    <w:p w14:paraId="73A18469">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（2</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为投资者办理产品认购、申购和赎回；</w:t>
      </w:r>
    </w:p>
    <w:p w14:paraId="33EE48BF">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（3</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在销售过程中对投资者进行身份识别和尽职调查；</w:t>
      </w:r>
    </w:p>
    <w:p w14:paraId="27940695">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（4</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承担</w:t>
      </w:r>
      <w:r>
        <w:rPr>
          <w:rFonts w:hint="eastAsia" w:ascii="楷体_GB2312" w:hAnsi="宋体" w:eastAsia="楷体_GB2312"/>
          <w:color w:val="000000"/>
          <w:sz w:val="24"/>
          <w:highlight w:val="none"/>
          <w:lang w:val="en-US" w:eastAsia="zh-CN"/>
        </w:rPr>
        <w:t>本</w:t>
      </w:r>
      <w:r>
        <w:rPr>
          <w:rFonts w:hint="eastAsia" w:ascii="楷体_GB2312" w:hAnsi="宋体" w:eastAsia="楷体_GB2312"/>
          <w:color w:val="000000"/>
          <w:sz w:val="24"/>
          <w:highlight w:val="none"/>
        </w:rPr>
        <w:t>理财产品的投资者适当性和销售适当性管理职责；</w:t>
      </w:r>
    </w:p>
    <w:p w14:paraId="3E475C64">
      <w:pPr>
        <w:ind w:firstLine="480" w:firstLineChars="200"/>
        <w:rPr>
          <w:rFonts w:ascii="楷体_GB2312" w:hAnsi="宋体" w:eastAsia="楷体_GB2312"/>
          <w:color w:val="000000"/>
          <w:sz w:val="24"/>
          <w:highlight w:val="none"/>
        </w:rPr>
      </w:pPr>
      <w:r>
        <w:rPr>
          <w:rFonts w:hint="eastAsia" w:ascii="楷体_GB2312" w:hAnsi="宋体" w:eastAsia="楷体_GB2312"/>
          <w:color w:val="000000"/>
          <w:sz w:val="24"/>
          <w:highlight w:val="none"/>
        </w:rPr>
        <w:t>（5</w:t>
      </w:r>
      <w:r>
        <w:rPr>
          <w:rFonts w:ascii="楷体_GB2312" w:hAnsi="宋体" w:eastAsia="楷体_GB2312"/>
          <w:color w:val="000000"/>
          <w:sz w:val="24"/>
          <w:highlight w:val="none"/>
        </w:rPr>
        <w:t>）</w:t>
      </w:r>
      <w:r>
        <w:rPr>
          <w:rFonts w:hint="eastAsia" w:ascii="楷体_GB2312" w:hAnsi="宋体" w:eastAsia="楷体_GB2312"/>
          <w:color w:val="000000"/>
          <w:sz w:val="24"/>
          <w:highlight w:val="none"/>
        </w:rPr>
        <w:t>适用法律法规规定</w:t>
      </w:r>
      <w:bookmarkStart w:id="7" w:name="_Hlk146059378"/>
      <w:r>
        <w:rPr>
          <w:rFonts w:hint="eastAsia" w:ascii="楷体_GB2312" w:hAnsi="宋体" w:eastAsia="楷体_GB2312"/>
          <w:color w:val="000000"/>
          <w:sz w:val="24"/>
          <w:highlight w:val="none"/>
        </w:rPr>
        <w:t>、国务院银行业监督管理机构规定</w:t>
      </w:r>
      <w:bookmarkEnd w:id="7"/>
      <w:r>
        <w:rPr>
          <w:rFonts w:hint="eastAsia" w:ascii="楷体_GB2312" w:hAnsi="宋体" w:eastAsia="楷体_GB2312"/>
          <w:color w:val="000000"/>
          <w:sz w:val="24"/>
          <w:highlight w:val="none"/>
          <w:lang w:eastAsia="zh-CN"/>
        </w:rPr>
        <w:t>、</w:t>
      </w:r>
      <w:r>
        <w:rPr>
          <w:rFonts w:hint="eastAsia" w:ascii="楷体_GB2312" w:hAnsi="宋体" w:eastAsia="楷体_GB2312"/>
          <w:color w:val="000000"/>
          <w:sz w:val="24"/>
          <w:highlight w:val="none"/>
          <w:lang w:val="en-US" w:eastAsia="zh-CN"/>
        </w:rPr>
        <w:t>产品管理人和代销机构另行签订的代理销售合作协议约定，以及本</w:t>
      </w:r>
      <w:r>
        <w:rPr>
          <w:rFonts w:hint="eastAsia" w:ascii="楷体_GB2312" w:hAnsi="宋体" w:eastAsia="楷体_GB2312"/>
          <w:color w:val="000000"/>
          <w:sz w:val="24"/>
          <w:highlight w:val="none"/>
        </w:rPr>
        <w:t>理财产品销售文件约定的其他职责。</w:t>
      </w:r>
    </w:p>
    <w:p w14:paraId="748558C5">
      <w:pPr>
        <w:tabs>
          <w:tab w:val="left" w:pos="915"/>
          <w:tab w:val="center" w:pos="5273"/>
        </w:tabs>
        <w:spacing w:before="50"/>
        <w:jc w:val="left"/>
        <w:rPr>
          <w:rFonts w:ascii="黑体" w:eastAsia="黑体"/>
          <w:b/>
          <w:bCs/>
          <w:color w:val="000000"/>
          <w:sz w:val="30"/>
          <w:szCs w:val="30"/>
          <w:highlight w:val="none"/>
        </w:rPr>
      </w:pPr>
      <w:r>
        <w:rPr>
          <w:rFonts w:ascii="黑体" w:eastAsia="黑体"/>
          <w:b/>
          <w:bCs/>
          <w:color w:val="000000"/>
          <w:sz w:val="30"/>
          <w:szCs w:val="30"/>
          <w:highlight w:val="none"/>
        </w:rPr>
        <w:t xml:space="preserve">             </w:t>
      </w:r>
    </w:p>
    <w:p w14:paraId="49E82D67">
      <w:pPr>
        <w:tabs>
          <w:tab w:val="left" w:pos="915"/>
          <w:tab w:val="center" w:pos="5273"/>
        </w:tabs>
        <w:spacing w:before="50"/>
        <w:jc w:val="center"/>
        <w:rPr>
          <w:rFonts w:ascii="黑体" w:eastAsia="黑体"/>
          <w:b/>
          <w:bCs/>
          <w:color w:val="000000"/>
          <w:sz w:val="30"/>
          <w:szCs w:val="30"/>
          <w:highlight w:val="none"/>
        </w:rPr>
      </w:pPr>
      <w:r>
        <w:rPr>
          <w:rFonts w:ascii="黑体" w:eastAsia="黑体"/>
          <w:b/>
          <w:bCs/>
          <w:color w:val="000000"/>
          <w:sz w:val="30"/>
          <w:szCs w:val="30"/>
          <w:highlight w:val="none"/>
        </w:rPr>
        <w:br w:type="page"/>
      </w:r>
      <w:r>
        <w:rPr>
          <w:rFonts w:hint="eastAsia" w:ascii="黑体" w:eastAsia="黑体"/>
          <w:b/>
          <w:bCs/>
          <w:color w:val="000000"/>
          <w:sz w:val="30"/>
          <w:szCs w:val="30"/>
          <w:highlight w:val="none"/>
          <w:lang w:eastAsia="zh-CN"/>
        </w:rPr>
        <w:t>北银理财京华远见春系列卓远固收封闭式290号</w:t>
      </w:r>
      <w:r>
        <w:rPr>
          <w:rFonts w:ascii="黑体" w:eastAsia="黑体"/>
          <w:b/>
          <w:bCs/>
          <w:color w:val="000000"/>
          <w:sz w:val="30"/>
          <w:szCs w:val="30"/>
          <w:highlight w:val="none"/>
        </w:rPr>
        <w:t>理财</w:t>
      </w:r>
      <w:r>
        <w:rPr>
          <w:rFonts w:hint="eastAsia" w:ascii="黑体" w:eastAsia="黑体"/>
          <w:b/>
          <w:bCs/>
          <w:color w:val="000000"/>
          <w:sz w:val="30"/>
          <w:szCs w:val="30"/>
          <w:highlight w:val="none"/>
        </w:rPr>
        <w:t>产品</w:t>
      </w:r>
    </w:p>
    <w:p w14:paraId="6F64B449">
      <w:pPr>
        <w:tabs>
          <w:tab w:val="left" w:pos="915"/>
          <w:tab w:val="center" w:pos="5273"/>
        </w:tabs>
        <w:spacing w:before="50"/>
        <w:jc w:val="center"/>
        <w:rPr>
          <w:rFonts w:ascii="黑体" w:eastAsia="黑体"/>
          <w:b/>
          <w:bCs/>
          <w:color w:val="000000"/>
          <w:sz w:val="30"/>
          <w:szCs w:val="30"/>
          <w:highlight w:val="none"/>
        </w:rPr>
      </w:pPr>
      <w:r>
        <w:rPr>
          <w:rFonts w:hint="eastAsia" w:ascii="黑体" w:eastAsia="黑体"/>
          <w:b/>
          <w:bCs/>
          <w:color w:val="000000"/>
          <w:sz w:val="30"/>
          <w:szCs w:val="30"/>
          <w:highlight w:val="none"/>
        </w:rPr>
        <w:t>投资者</w:t>
      </w:r>
      <w:r>
        <w:rPr>
          <w:rFonts w:ascii="黑体" w:eastAsia="黑体"/>
          <w:b/>
          <w:bCs/>
          <w:color w:val="000000"/>
          <w:sz w:val="30"/>
          <w:szCs w:val="30"/>
          <w:highlight w:val="none"/>
        </w:rPr>
        <w:t>权益须知</w:t>
      </w:r>
    </w:p>
    <w:p w14:paraId="7DAB180E">
      <w:pPr>
        <w:autoSpaceDE w:val="0"/>
        <w:autoSpaceDN w:val="0"/>
        <w:adjustRightInd w:val="0"/>
        <w:spacing w:before="62" w:beforeLines="20"/>
        <w:rPr>
          <w:rFonts w:ascii="楷体_GB2312" w:eastAsia="楷体_GB2312"/>
          <w:b/>
          <w:color w:val="000000"/>
          <w:sz w:val="24"/>
          <w:highlight w:val="none"/>
        </w:rPr>
      </w:pPr>
      <w:r>
        <w:rPr>
          <w:rFonts w:hint="eastAsia" w:ascii="楷体_GB2312" w:eastAsia="楷体_GB2312"/>
          <w:b/>
          <w:color w:val="000000"/>
          <w:sz w:val="24"/>
          <w:highlight w:val="none"/>
        </w:rPr>
        <w:t>尊敬的投资者：</w:t>
      </w:r>
    </w:p>
    <w:p w14:paraId="0F23E5BC">
      <w:pPr>
        <w:keepNext w:val="0"/>
        <w:keepLines w:val="0"/>
        <w:widowControl/>
        <w:suppressLineNumbers w:val="0"/>
        <w:autoSpaceDE w:val="0"/>
        <w:autoSpaceDN w:val="0"/>
        <w:adjustRightInd w:val="0"/>
        <w:spacing w:before="62" w:beforeLines="20"/>
        <w:ind w:firstLine="482" w:firstLineChars="200"/>
        <w:jc w:val="left"/>
        <w:rPr>
          <w:rFonts w:ascii="楷体_GB2312" w:hAnsi="Times New Roman" w:eastAsia="楷体_GB2312" w:cs="Times New Roman"/>
          <w:color w:val="000000"/>
          <w:sz w:val="24"/>
          <w:highlight w:val="none"/>
        </w:rPr>
      </w:pPr>
      <w:r>
        <w:rPr>
          <w:rFonts w:ascii="楷体_GB2312" w:eastAsia="楷体_GB2312"/>
          <w:b/>
          <w:bCs/>
          <w:color w:val="000000"/>
          <w:sz w:val="24"/>
          <w:highlight w:val="none"/>
        </w:rPr>
        <w:t>理财非存款，产品有风险，投资须谨慎。</w:t>
      </w:r>
      <w:r>
        <w:rPr>
          <w:rFonts w:hint="default" w:ascii="楷体_GB2312" w:hAnsi="Times New Roman" w:eastAsia="楷体_GB2312" w:cs="Times New Roman"/>
          <w:color w:val="000000"/>
          <w:kern w:val="2"/>
          <w:sz w:val="24"/>
          <w:szCs w:val="24"/>
          <w:highlight w:val="none"/>
          <w:lang w:val="en-US" w:eastAsia="zh-CN" w:bidi="ar"/>
        </w:rPr>
        <w:t>为方便您办理</w:t>
      </w:r>
      <w:r>
        <w:rPr>
          <w:rFonts w:hint="eastAsia" w:ascii="楷体_GB2312" w:hAnsi="Times New Roman" w:eastAsia="楷体_GB2312" w:cs="Times New Roman"/>
          <w:color w:val="000000"/>
          <w:kern w:val="2"/>
          <w:sz w:val="24"/>
          <w:szCs w:val="24"/>
          <w:highlight w:val="none"/>
          <w:lang w:val="en-US" w:eastAsia="zh-CN" w:bidi="ar"/>
        </w:rPr>
        <w:t>北银</w:t>
      </w:r>
      <w:r>
        <w:rPr>
          <w:rFonts w:hint="default" w:ascii="楷体_GB2312" w:hAnsi="Times New Roman" w:eastAsia="楷体_GB2312" w:cs="Times New Roman"/>
          <w:color w:val="000000"/>
          <w:kern w:val="2"/>
          <w:sz w:val="24"/>
          <w:szCs w:val="24"/>
          <w:highlight w:val="none"/>
          <w:lang w:val="en-US" w:eastAsia="zh-CN" w:bidi="ar"/>
        </w:rPr>
        <w:t>理财有限责任公司（以下简称“</w:t>
      </w:r>
      <w:r>
        <w:rPr>
          <w:rFonts w:hint="eastAsia" w:ascii="楷体_GB2312" w:hAnsi="Times New Roman" w:eastAsia="楷体_GB2312" w:cs="Times New Roman"/>
          <w:color w:val="000000"/>
          <w:kern w:val="2"/>
          <w:sz w:val="24"/>
          <w:szCs w:val="24"/>
          <w:highlight w:val="none"/>
          <w:lang w:val="en-US" w:eastAsia="zh-CN" w:bidi="ar"/>
        </w:rPr>
        <w:t>北银</w:t>
      </w:r>
      <w:r>
        <w:rPr>
          <w:rFonts w:hint="default" w:ascii="楷体_GB2312" w:hAnsi="Times New Roman" w:eastAsia="楷体_GB2312" w:cs="Times New Roman"/>
          <w:color w:val="000000"/>
          <w:kern w:val="2"/>
          <w:sz w:val="24"/>
          <w:szCs w:val="24"/>
          <w:highlight w:val="none"/>
          <w:lang w:val="en-US" w:eastAsia="zh-CN" w:bidi="ar"/>
        </w:rPr>
        <w:t>理财”）理财业务，请仔细阅读以下内容。</w:t>
      </w:r>
    </w:p>
    <w:p w14:paraId="31111E32">
      <w:pPr>
        <w:autoSpaceDE w:val="0"/>
        <w:autoSpaceDN w:val="0"/>
        <w:adjustRightInd w:val="0"/>
        <w:spacing w:before="62" w:beforeLines="20"/>
        <w:ind w:firstLine="480" w:firstLineChars="200"/>
        <w:rPr>
          <w:rFonts w:ascii="楷体_GB2312" w:eastAsia="楷体_GB2312"/>
          <w:color w:val="000000"/>
          <w:sz w:val="24"/>
          <w:highlight w:val="none"/>
        </w:rPr>
      </w:pPr>
      <w:r>
        <w:rPr>
          <w:rFonts w:ascii="楷体_GB2312" w:eastAsia="楷体_GB2312"/>
          <w:color w:val="000000"/>
          <w:sz w:val="24"/>
          <w:highlight w:val="none"/>
        </w:rPr>
        <w:t>根据</w:t>
      </w:r>
      <w:r>
        <w:rPr>
          <w:rFonts w:hint="eastAsia" w:ascii="楷体_GB2312" w:eastAsia="楷体_GB2312"/>
          <w:color w:val="000000"/>
          <w:sz w:val="24"/>
          <w:highlight w:val="none"/>
        </w:rPr>
        <w:t>国家金融监督管理总局</w:t>
      </w:r>
      <w:r>
        <w:rPr>
          <w:rFonts w:ascii="楷体_GB2312" w:eastAsia="楷体_GB2312"/>
          <w:color w:val="000000"/>
          <w:sz w:val="24"/>
          <w:highlight w:val="none"/>
        </w:rPr>
        <w:t>相关监管规定的要求，</w:t>
      </w:r>
      <w:r>
        <w:rPr>
          <w:rFonts w:ascii="楷体_GB2312" w:eastAsia="楷体_GB2312"/>
          <w:b/>
          <w:bCs/>
          <w:color w:val="000000"/>
          <w:sz w:val="24"/>
          <w:highlight w:val="none"/>
        </w:rPr>
        <w:t>在选择购买</w:t>
      </w:r>
      <w:r>
        <w:rPr>
          <w:rFonts w:hint="eastAsia" w:ascii="楷体_GB2312" w:eastAsia="楷体_GB2312"/>
          <w:b/>
          <w:bCs/>
          <w:color w:val="000000"/>
          <w:sz w:val="24"/>
          <w:highlight w:val="none"/>
          <w:lang w:val="en-US" w:eastAsia="zh-CN"/>
        </w:rPr>
        <w:t>本</w:t>
      </w:r>
      <w:r>
        <w:rPr>
          <w:rFonts w:ascii="楷体_GB2312" w:eastAsia="楷体_GB2312"/>
          <w:b/>
          <w:bCs/>
          <w:color w:val="000000"/>
          <w:sz w:val="24"/>
          <w:highlight w:val="none"/>
        </w:rPr>
        <w:t>理财产品前，请认真完成</w:t>
      </w:r>
      <w:r>
        <w:rPr>
          <w:rFonts w:hint="eastAsia" w:ascii="楷体_GB2312" w:eastAsia="楷体_GB2312"/>
          <w:b/>
          <w:bCs/>
          <w:color w:val="000000"/>
          <w:sz w:val="24"/>
          <w:highlight w:val="none"/>
          <w:lang w:val="en-US" w:eastAsia="zh-CN"/>
        </w:rPr>
        <w:t>投资者</w:t>
      </w:r>
      <w:r>
        <w:rPr>
          <w:rFonts w:ascii="楷体_GB2312" w:eastAsia="楷体_GB2312"/>
          <w:b/>
          <w:bCs/>
          <w:color w:val="000000"/>
          <w:sz w:val="24"/>
          <w:highlight w:val="none"/>
        </w:rPr>
        <w:t>风险承受能力评估，了解</w:t>
      </w:r>
      <w:r>
        <w:rPr>
          <w:rFonts w:hint="eastAsia" w:ascii="楷体_GB2312" w:eastAsia="楷体_GB2312"/>
          <w:b/>
          <w:bCs/>
          <w:color w:val="000000"/>
          <w:sz w:val="24"/>
          <w:highlight w:val="none"/>
          <w:lang w:eastAsia="zh-CN"/>
        </w:rPr>
        <w:t>本人/本公司</w:t>
      </w:r>
      <w:r>
        <w:rPr>
          <w:rFonts w:ascii="楷体_GB2312" w:eastAsia="楷体_GB2312"/>
          <w:b/>
          <w:bCs/>
          <w:color w:val="000000"/>
          <w:sz w:val="24"/>
          <w:highlight w:val="none"/>
        </w:rPr>
        <w:t>的投资目标、风险偏好和产品需求，</w:t>
      </w:r>
      <w:r>
        <w:rPr>
          <w:rFonts w:ascii="楷体_GB2312" w:hAnsi="楷体" w:eastAsia="楷体_GB2312" w:cs="Times New Roman"/>
          <w:b/>
          <w:bCs/>
          <w:color w:val="auto"/>
          <w:sz w:val="24"/>
          <w:highlight w:val="none"/>
        </w:rPr>
        <w:t>仔细阅读本</w:t>
      </w:r>
      <w:r>
        <w:rPr>
          <w:rFonts w:hint="eastAsia" w:ascii="楷体_GB2312" w:hAnsi="楷体" w:eastAsia="楷体_GB2312" w:cs="Times New Roman"/>
          <w:b/>
          <w:bCs/>
          <w:color w:val="auto"/>
          <w:sz w:val="24"/>
          <w:highlight w:val="none"/>
          <w:lang w:val="en-US" w:eastAsia="zh-CN"/>
        </w:rPr>
        <w:t>理财产品</w:t>
      </w:r>
      <w:r>
        <w:rPr>
          <w:rFonts w:hint="eastAsia" w:ascii="楷体_GB2312" w:hAnsi="楷体" w:eastAsia="楷体_GB2312" w:cs="Times New Roman"/>
          <w:b/>
          <w:bCs/>
          <w:color w:val="auto"/>
          <w:sz w:val="24"/>
          <w:highlight w:val="none"/>
        </w:rPr>
        <w:t>销售文件</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包括《</w:t>
      </w:r>
      <w:r>
        <w:rPr>
          <w:rFonts w:hint="eastAsia" w:ascii="楷体_GB2312" w:hAnsi="楷体" w:eastAsia="楷体_GB2312" w:cs="Times New Roman"/>
          <w:b/>
          <w:bCs/>
          <w:color w:val="auto"/>
          <w:sz w:val="24"/>
          <w:highlight w:val="none"/>
        </w:rPr>
        <w:t>理财产品投资协议书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理财产品说明书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rPr>
        <w:t>风险揭示书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w:t>
      </w:r>
      <w:r>
        <w:rPr>
          <w:rFonts w:hint="eastAsia" w:ascii="楷体_GB2312" w:hAnsi="楷体" w:eastAsia="楷体_GB2312" w:cs="Times New Roman"/>
          <w:b/>
          <w:bCs/>
          <w:color w:val="auto"/>
          <w:sz w:val="24"/>
          <w:highlight w:val="none"/>
        </w:rPr>
        <w:t>投资者权益须知</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和《代理销售</w:t>
      </w:r>
      <w:r>
        <w:rPr>
          <w:rFonts w:hint="eastAsia" w:ascii="楷体_GB2312" w:hAnsi="楷体" w:eastAsia="楷体_GB2312" w:cs="Times New Roman"/>
          <w:b/>
          <w:bCs/>
          <w:color w:val="auto"/>
          <w:sz w:val="24"/>
          <w:highlight w:val="none"/>
        </w:rPr>
        <w:t>协议书</w:t>
      </w:r>
      <w:r>
        <w:rPr>
          <w:rFonts w:hint="eastAsia" w:ascii="楷体_GB2312" w:hAnsi="楷体" w:eastAsia="楷体_GB2312" w:cs="Times New Roman"/>
          <w:b/>
          <w:bCs/>
          <w:color w:val="auto"/>
          <w:sz w:val="24"/>
          <w:highlight w:val="none"/>
          <w:lang w:eastAsia="zh-CN"/>
        </w:rPr>
        <w:t>》（</w:t>
      </w:r>
      <w:r>
        <w:rPr>
          <w:rFonts w:hint="eastAsia" w:ascii="楷体_GB2312" w:hAnsi="楷体" w:eastAsia="楷体_GB2312" w:cs="Times New Roman"/>
          <w:b/>
          <w:bCs/>
          <w:color w:val="auto"/>
          <w:sz w:val="24"/>
          <w:highlight w:val="none"/>
          <w:lang w:val="en-US" w:eastAsia="zh-CN"/>
        </w:rPr>
        <w:t>具体名称以代销机构为准</w:t>
      </w:r>
      <w:r>
        <w:rPr>
          <w:rFonts w:hint="eastAsia" w:ascii="楷体_GB2312" w:hAnsi="楷体" w:eastAsia="楷体_GB2312" w:cs="Times New Roman"/>
          <w:b/>
          <w:bCs/>
          <w:color w:val="auto"/>
          <w:sz w:val="24"/>
          <w:highlight w:val="none"/>
          <w:lang w:eastAsia="zh-CN"/>
        </w:rPr>
        <w:t>）</w:t>
      </w:r>
      <w:r>
        <w:rPr>
          <w:rFonts w:ascii="楷体_GB2312" w:hAnsi="楷体" w:eastAsia="楷体_GB2312" w:cs="Times New Roman"/>
          <w:b/>
          <w:bCs/>
          <w:color w:val="auto"/>
          <w:sz w:val="24"/>
          <w:highlight w:val="none"/>
        </w:rPr>
        <w:t>，</w:t>
      </w:r>
      <w:r>
        <w:rPr>
          <w:rFonts w:hint="eastAsia" w:ascii="楷体_GB2312" w:hAnsi="楷体" w:eastAsia="楷体_GB2312" w:cs="Times New Roman"/>
          <w:b/>
          <w:bCs/>
          <w:color w:val="auto"/>
          <w:sz w:val="24"/>
          <w:highlight w:val="none"/>
        </w:rPr>
        <w:t>特别是加黑及加“★”标识、以及有关责任或权利限制的条款</w:t>
      </w:r>
      <w:r>
        <w:rPr>
          <w:rFonts w:hint="eastAsia" w:ascii="楷体_GB2312" w:hAnsi="楷体" w:eastAsia="楷体_GB2312" w:cs="Times New Roman"/>
          <w:b/>
          <w:bCs/>
          <w:color w:val="auto"/>
          <w:sz w:val="24"/>
          <w:highlight w:val="none"/>
          <w:lang w:eastAsia="zh-CN"/>
        </w:rPr>
        <w:t>，</w:t>
      </w:r>
      <w:r>
        <w:rPr>
          <w:rFonts w:ascii="楷体_GB2312" w:eastAsia="楷体_GB2312"/>
          <w:b/>
          <w:bCs/>
          <w:color w:val="000000"/>
          <w:sz w:val="24"/>
          <w:highlight w:val="none"/>
        </w:rPr>
        <w:t>选择购买与</w:t>
      </w:r>
      <w:r>
        <w:rPr>
          <w:rFonts w:hint="eastAsia" w:ascii="楷体_GB2312" w:eastAsia="楷体_GB2312"/>
          <w:b/>
          <w:bCs/>
          <w:color w:val="000000"/>
          <w:sz w:val="24"/>
          <w:highlight w:val="none"/>
          <w:lang w:eastAsia="zh-CN"/>
        </w:rPr>
        <w:t>本人/本公司</w:t>
      </w:r>
      <w:r>
        <w:rPr>
          <w:rFonts w:ascii="楷体_GB2312" w:eastAsia="楷体_GB2312"/>
          <w:b/>
          <w:bCs/>
          <w:color w:val="000000"/>
          <w:sz w:val="24"/>
          <w:highlight w:val="none"/>
        </w:rPr>
        <w:t>自身风险承受能力匹配的产品。</w:t>
      </w:r>
      <w:r>
        <w:rPr>
          <w:rFonts w:ascii="楷体_GB2312" w:eastAsia="楷体_GB2312"/>
          <w:color w:val="000000"/>
          <w:sz w:val="24"/>
          <w:highlight w:val="none"/>
        </w:rPr>
        <w:t>在阅读时如对</w:t>
      </w:r>
      <w:r>
        <w:rPr>
          <w:rFonts w:hint="eastAsia" w:ascii="楷体_GB2312" w:eastAsia="楷体_GB2312"/>
          <w:color w:val="000000"/>
          <w:sz w:val="24"/>
          <w:highlight w:val="none"/>
          <w:lang w:val="en-US" w:eastAsia="zh-CN"/>
        </w:rPr>
        <w:t>本理财</w:t>
      </w:r>
      <w:r>
        <w:rPr>
          <w:rFonts w:ascii="楷体_GB2312" w:eastAsia="楷体_GB2312"/>
          <w:color w:val="000000"/>
          <w:sz w:val="24"/>
          <w:highlight w:val="none"/>
        </w:rPr>
        <w:t>产品</w:t>
      </w:r>
      <w:r>
        <w:rPr>
          <w:rFonts w:hint="eastAsia" w:ascii="楷体_GB2312" w:eastAsia="楷体_GB2312"/>
          <w:color w:val="000000"/>
          <w:sz w:val="24"/>
          <w:highlight w:val="none"/>
          <w:lang w:val="en-US" w:eastAsia="zh-CN"/>
        </w:rPr>
        <w:t>销售文件</w:t>
      </w:r>
      <w:r>
        <w:rPr>
          <w:rFonts w:ascii="楷体_GB2312" w:eastAsia="楷体_GB2312"/>
          <w:color w:val="000000"/>
          <w:sz w:val="24"/>
          <w:highlight w:val="none"/>
        </w:rPr>
        <w:t>或购买流程等有不明之处，请及时与代销机构相关人员进行咨询。在购买</w:t>
      </w:r>
      <w:r>
        <w:rPr>
          <w:rFonts w:hint="eastAsia" w:ascii="楷体_GB2312" w:eastAsia="楷体_GB2312"/>
          <w:color w:val="000000"/>
          <w:sz w:val="24"/>
          <w:highlight w:val="none"/>
          <w:lang w:val="en-US" w:eastAsia="zh-CN"/>
        </w:rPr>
        <w:t>本</w:t>
      </w:r>
      <w:r>
        <w:rPr>
          <w:rFonts w:ascii="楷体_GB2312" w:eastAsia="楷体_GB2312"/>
          <w:color w:val="000000"/>
          <w:sz w:val="24"/>
          <w:highlight w:val="none"/>
        </w:rPr>
        <w:t>理财产品后，请关注</w:t>
      </w:r>
      <w:r>
        <w:rPr>
          <w:rFonts w:hint="eastAsia" w:ascii="楷体_GB2312" w:eastAsia="楷体_GB2312"/>
          <w:color w:val="000000"/>
          <w:sz w:val="24"/>
          <w:highlight w:val="none"/>
          <w:lang w:val="en-US" w:eastAsia="zh-CN"/>
        </w:rPr>
        <w:t>本</w:t>
      </w:r>
      <w:r>
        <w:rPr>
          <w:rFonts w:ascii="楷体_GB2312" w:eastAsia="楷体_GB2312"/>
          <w:color w:val="000000"/>
          <w:sz w:val="24"/>
          <w:highlight w:val="none"/>
        </w:rPr>
        <w:t>理财产品的信息披露情况，及时获取相关信息；如对</w:t>
      </w:r>
      <w:r>
        <w:rPr>
          <w:rFonts w:hint="eastAsia" w:ascii="楷体_GB2312" w:eastAsia="楷体_GB2312"/>
          <w:color w:val="000000"/>
          <w:sz w:val="24"/>
          <w:highlight w:val="none"/>
          <w:lang w:val="en-US" w:eastAsia="zh-CN"/>
        </w:rPr>
        <w:t>本</w:t>
      </w:r>
      <w:r>
        <w:rPr>
          <w:rFonts w:ascii="楷体_GB2312" w:eastAsia="楷体_GB2312"/>
          <w:color w:val="000000"/>
          <w:sz w:val="24"/>
          <w:highlight w:val="none"/>
        </w:rPr>
        <w:t>理财产品有任何意见或建议，请关注产品管理人及代销机构相关联络方式并予以反馈</w:t>
      </w:r>
      <w:r>
        <w:rPr>
          <w:rFonts w:hint="eastAsia" w:ascii="楷体_GB2312" w:eastAsia="楷体_GB2312"/>
          <w:color w:val="000000"/>
          <w:sz w:val="24"/>
          <w:highlight w:val="none"/>
        </w:rPr>
        <w:t>。</w:t>
      </w:r>
    </w:p>
    <w:p w14:paraId="02B07F32">
      <w:pPr>
        <w:autoSpaceDE w:val="0"/>
        <w:autoSpaceDN w:val="0"/>
        <w:adjustRightInd w:val="0"/>
        <w:spacing w:before="62" w:beforeLines="20"/>
        <w:ind w:firstLine="480" w:firstLineChars="200"/>
        <w:rPr>
          <w:rFonts w:ascii="楷体_GB2312" w:eastAsia="楷体_GB2312"/>
          <w:color w:val="000000"/>
          <w:sz w:val="24"/>
          <w:highlight w:val="none"/>
        </w:rPr>
      </w:pPr>
      <w:r>
        <w:rPr>
          <w:rFonts w:hint="eastAsia" w:ascii="楷体_GB2312" w:eastAsia="楷体_GB2312"/>
          <w:color w:val="000000"/>
          <w:sz w:val="24"/>
          <w:highlight w:val="none"/>
          <w:lang w:eastAsia="zh-CN"/>
        </w:rPr>
        <w:t>本理财产品</w:t>
      </w:r>
      <w:r>
        <w:rPr>
          <w:rFonts w:hint="eastAsia" w:ascii="楷体_GB2312" w:eastAsia="楷体_GB2312"/>
          <w:color w:val="000000"/>
          <w:sz w:val="24"/>
          <w:highlight w:val="none"/>
        </w:rPr>
        <w:t>由</w:t>
      </w:r>
      <w:r>
        <w:rPr>
          <w:rFonts w:hint="eastAsia" w:ascii="楷体_GB2312" w:eastAsia="楷体_GB2312"/>
          <w:color w:val="000000"/>
          <w:sz w:val="24"/>
          <w:highlight w:val="none"/>
          <w:lang w:eastAsia="zh-Hans"/>
        </w:rPr>
        <w:t>北银</w:t>
      </w:r>
      <w:r>
        <w:rPr>
          <w:rFonts w:hint="eastAsia" w:ascii="楷体_GB2312" w:eastAsia="楷体_GB2312"/>
          <w:color w:val="000000"/>
          <w:sz w:val="24"/>
          <w:highlight w:val="none"/>
        </w:rPr>
        <w:t>理财发行与管理，投资者通过</w:t>
      </w:r>
      <w:r>
        <w:rPr>
          <w:rFonts w:hint="eastAsia" w:ascii="楷体_GB2312" w:eastAsia="楷体_GB2312"/>
          <w:color w:val="000000"/>
          <w:sz w:val="24"/>
          <w:highlight w:val="none"/>
          <w:lang w:eastAsia="zh-Hans"/>
        </w:rPr>
        <w:t>代销机构购买</w:t>
      </w:r>
      <w:r>
        <w:rPr>
          <w:rFonts w:hint="eastAsia" w:ascii="楷体_GB2312" w:eastAsia="楷体_GB2312"/>
          <w:color w:val="000000"/>
          <w:sz w:val="24"/>
          <w:highlight w:val="none"/>
          <w:lang w:eastAsia="zh-CN"/>
        </w:rPr>
        <w:t>本理财产品</w:t>
      </w:r>
      <w:r>
        <w:rPr>
          <w:rFonts w:hint="eastAsia" w:ascii="楷体_GB2312" w:eastAsia="楷体_GB2312"/>
          <w:color w:val="000000"/>
          <w:sz w:val="24"/>
          <w:highlight w:val="none"/>
        </w:rPr>
        <w:t>，须遵从代销</w:t>
      </w:r>
      <w:r>
        <w:rPr>
          <w:rFonts w:hint="eastAsia" w:ascii="楷体_GB2312" w:eastAsia="楷体_GB2312"/>
          <w:color w:val="000000"/>
          <w:sz w:val="24"/>
          <w:highlight w:val="none"/>
          <w:lang w:eastAsia="zh-Hans"/>
        </w:rPr>
        <w:t>机构</w:t>
      </w:r>
      <w:r>
        <w:rPr>
          <w:rFonts w:hint="eastAsia" w:ascii="楷体_GB2312" w:eastAsia="楷体_GB2312"/>
          <w:color w:val="000000"/>
          <w:sz w:val="24"/>
          <w:highlight w:val="none"/>
        </w:rPr>
        <w:t>和</w:t>
      </w:r>
      <w:r>
        <w:rPr>
          <w:rFonts w:hint="eastAsia" w:ascii="楷体_GB2312" w:eastAsia="楷体_GB2312"/>
          <w:color w:val="000000"/>
          <w:sz w:val="24"/>
          <w:highlight w:val="none"/>
          <w:lang w:eastAsia="zh-Hans"/>
        </w:rPr>
        <w:t>北</w:t>
      </w:r>
      <w:r>
        <w:rPr>
          <w:rFonts w:hint="eastAsia" w:ascii="楷体_GB2312" w:eastAsia="楷体_GB2312"/>
          <w:color w:val="000000"/>
          <w:sz w:val="24"/>
          <w:highlight w:val="none"/>
        </w:rPr>
        <w:t>银理财相关规定。投资者不得使用贷款、发行债券等筹集的非自有资金投资</w:t>
      </w:r>
      <w:r>
        <w:rPr>
          <w:rFonts w:hint="eastAsia" w:ascii="楷体_GB2312" w:eastAsia="楷体_GB2312"/>
          <w:color w:val="000000"/>
          <w:sz w:val="24"/>
          <w:highlight w:val="none"/>
          <w:lang w:val="en-US" w:eastAsia="zh-CN"/>
        </w:rPr>
        <w:t>本</w:t>
      </w:r>
      <w:r>
        <w:rPr>
          <w:rFonts w:hint="eastAsia" w:ascii="楷体_GB2312" w:eastAsia="楷体_GB2312"/>
          <w:color w:val="000000"/>
          <w:sz w:val="24"/>
          <w:highlight w:val="none"/>
        </w:rPr>
        <w:t>理财产品。</w:t>
      </w:r>
    </w:p>
    <w:p w14:paraId="0D5921FC">
      <w:pPr>
        <w:autoSpaceDE w:val="0"/>
        <w:autoSpaceDN w:val="0"/>
        <w:adjustRightInd w:val="0"/>
        <w:spacing w:before="62" w:beforeLines="20"/>
        <w:ind w:firstLine="482" w:firstLineChars="200"/>
        <w:rPr>
          <w:rFonts w:ascii="楷体_GB2312" w:eastAsia="楷体_GB2312"/>
          <w:b/>
          <w:bCs/>
          <w:color w:val="000000"/>
          <w:sz w:val="24"/>
          <w:highlight w:val="none"/>
        </w:rPr>
      </w:pPr>
      <w:r>
        <w:rPr>
          <w:rFonts w:ascii="楷体_GB2312" w:eastAsia="楷体_GB2312"/>
          <w:b/>
          <w:bCs/>
          <w:color w:val="000000"/>
          <w:sz w:val="24"/>
          <w:highlight w:val="none"/>
        </w:rPr>
        <w:t>一、投资者风险承受能力评估</w:t>
      </w:r>
    </w:p>
    <w:p w14:paraId="61C27096">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一）本理财产品全部销售工作及投资者适当性评估由代销机构负责。投资者首次通过代销机构购买北银理财理财产品的，需要与代销机构签署相关理财产品销售文件，并须按照该理财产品销售文件约定在代销机构销售渠道进行风险承受能力评估，并对评估结果签字确认。</w:t>
      </w:r>
    </w:p>
    <w:p w14:paraId="4477DC6A">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二）投资者风险承受能力评估结果有效期为一年，如投资者超过一年未进行风险承受能力评估或发生可能影响自身风险承受能力情况的，再次购买理财产品时须在理财产品代销机构营业场所（含电子渠道）完成风险承受能力的重新评估。</w:t>
      </w:r>
    </w:p>
    <w:p w14:paraId="65D4B788">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（三）投资者风险承受能力评估流程</w:t>
      </w:r>
    </w:p>
    <w:p w14:paraId="6B7D3893">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1.投资者在理财产品代销机构营业场所（含电子渠道）进行风险承受能力评估；</w:t>
      </w:r>
    </w:p>
    <w:p w14:paraId="6A62286A">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2.填写代销机构投资者风险承受能力测试问卷；</w:t>
      </w:r>
    </w:p>
    <w:p w14:paraId="6B235F33">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3.生成相应的投资者风险承受能力评估结果；</w:t>
      </w:r>
    </w:p>
    <w:p w14:paraId="33E685AD">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4.投资者对评估结果进行确认。</w:t>
      </w:r>
    </w:p>
    <w:p w14:paraId="21303A2A">
      <w:pPr>
        <w:numPr>
          <w:ilvl w:val="-1"/>
          <w:numId w:val="0"/>
        </w:num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 xml:space="preserve">风险承受能力评估结果将作为评价投资者是否适合购买理财产品的重要因素，风险承受能力评级越高适合购买的理财产品风险评级越高，适合购买的理财产品类型越丰富。 </w:t>
      </w:r>
    </w:p>
    <w:p w14:paraId="2E158AFB">
      <w:pPr>
        <w:autoSpaceDE w:val="0"/>
        <w:autoSpaceDN w:val="0"/>
        <w:adjustRightInd w:val="0"/>
        <w:spacing w:before="62" w:beforeLines="20" w:line="240" w:lineRule="auto"/>
        <w:ind w:firstLine="480" w:firstLineChars="200"/>
        <w:rPr>
          <w:rFonts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4"/>
          <w:szCs w:val="24"/>
          <w:highlight w:val="none"/>
        </w:rPr>
        <w:t>（五）代销机构应确保投资者的风险承受能力等级评估结果不低于本理财产品风险评级结果。代销过程中，代销机构可参考北银理财的产品风险评级结果，自行判断确定本理财产品的风险评级。当代销机构对本理财产品的风险评级结果与北银理财产品风险评级结果不一致的，代销机构应当采用较高风险等级的产品风险评级结果并予以披露。</w:t>
      </w:r>
    </w:p>
    <w:p w14:paraId="5FF51A10">
      <w:pPr>
        <w:autoSpaceDE w:val="0"/>
        <w:autoSpaceDN w:val="0"/>
        <w:adjustRightInd w:val="0"/>
        <w:spacing w:before="62" w:beforeLines="20"/>
        <w:ind w:firstLine="420"/>
        <w:rPr>
          <w:rFonts w:ascii="楷体_GB2312" w:eastAsia="楷体_GB2312"/>
          <w:b/>
          <w:bCs/>
          <w:color w:val="000000"/>
          <w:sz w:val="24"/>
          <w:highlight w:val="none"/>
        </w:rPr>
      </w:pPr>
      <w:r>
        <w:rPr>
          <w:rFonts w:hint="eastAsia" w:ascii="楷体_GB2312" w:eastAsia="楷体_GB2312"/>
          <w:b/>
          <w:bCs/>
          <w:color w:val="000000"/>
          <w:sz w:val="24"/>
          <w:highlight w:val="none"/>
          <w:lang w:val="en-US" w:eastAsia="zh-CN"/>
        </w:rPr>
        <w:t>二</w:t>
      </w:r>
      <w:r>
        <w:rPr>
          <w:rFonts w:hint="eastAsia" w:ascii="楷体_GB2312" w:eastAsia="楷体_GB2312"/>
          <w:b/>
          <w:bCs/>
          <w:color w:val="000000"/>
          <w:sz w:val="24"/>
          <w:highlight w:val="none"/>
        </w:rPr>
        <w:t>、北银理财产品风险评级说明</w:t>
      </w:r>
    </w:p>
    <w:p w14:paraId="263BFAC3">
      <w:pPr>
        <w:pStyle w:val="2"/>
        <w:spacing w:line="360" w:lineRule="auto"/>
        <w:ind w:left="0" w:leftChars="0" w:firstLine="480" w:firstLineChars="200"/>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北银理财所对应的产品风险评级说明详见下表。</w:t>
      </w:r>
    </w:p>
    <w:tbl>
      <w:tblPr>
        <w:tblStyle w:val="17"/>
        <w:tblW w:w="9409"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4231"/>
        <w:gridCol w:w="3402"/>
      </w:tblGrid>
      <w:tr w14:paraId="0DA6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76" w:type="dxa"/>
            <w:vAlign w:val="top"/>
          </w:tcPr>
          <w:p w14:paraId="3CBBB078">
            <w:pPr>
              <w:pStyle w:val="2"/>
              <w:ind w:left="0" w:leftChars="0" w:firstLine="0" w:firstLineChars="0"/>
              <w:jc w:val="center"/>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产品风险评级</w:t>
            </w:r>
          </w:p>
        </w:tc>
        <w:tc>
          <w:tcPr>
            <w:tcW w:w="4231" w:type="dxa"/>
            <w:vAlign w:val="top"/>
          </w:tcPr>
          <w:p w14:paraId="0A80D53F">
            <w:pPr>
              <w:pStyle w:val="2"/>
              <w:ind w:left="0" w:leftChars="0" w:firstLine="960" w:firstLineChars="40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产品风险评级说明</w:t>
            </w:r>
          </w:p>
        </w:tc>
        <w:tc>
          <w:tcPr>
            <w:tcW w:w="3402" w:type="dxa"/>
            <w:vAlign w:val="top"/>
          </w:tcPr>
          <w:p w14:paraId="1BC733B7">
            <w:pPr>
              <w:pStyle w:val="2"/>
              <w:ind w:firstLine="480" w:firstLineChars="20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目标客户类型</w:t>
            </w:r>
          </w:p>
        </w:tc>
      </w:tr>
      <w:tr w14:paraId="29BD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76" w:type="dxa"/>
            <w:vAlign w:val="top"/>
          </w:tcPr>
          <w:p w14:paraId="07ED573D">
            <w:pPr>
              <w:pStyle w:val="2"/>
              <w:ind w:left="0" w:leftChars="0" w:firstLine="0" w:firstLineChars="0"/>
              <w:jc w:val="center"/>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低风险产品（PR1）</w:t>
            </w:r>
          </w:p>
        </w:tc>
        <w:tc>
          <w:tcPr>
            <w:tcW w:w="4231" w:type="dxa"/>
            <w:vAlign w:val="top"/>
          </w:tcPr>
          <w:p w14:paraId="3251FC07">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理财产品的总体风险低，净值波动小</w:t>
            </w:r>
            <w:r>
              <w:rPr>
                <w:rFonts w:hint="default" w:ascii="楷体_GB2312" w:hAnsi="Times New Roman" w:eastAsia="楷体_GB2312" w:cs="Times New Roman"/>
                <w:color w:val="000000"/>
                <w:kern w:val="2"/>
                <w:sz w:val="24"/>
                <w:szCs w:val="24"/>
                <w:highlight w:val="none"/>
                <w:lang w:eastAsia="zh-CN"/>
              </w:rPr>
              <w:t>，</w:t>
            </w:r>
            <w:r>
              <w:rPr>
                <w:rFonts w:hint="default" w:ascii="楷体_GB2312" w:hAnsi="Times New Roman" w:eastAsia="楷体_GB2312" w:cs="Times New Roman"/>
                <w:color w:val="000000"/>
                <w:kern w:val="2"/>
                <w:sz w:val="24"/>
                <w:szCs w:val="24"/>
                <w:highlight w:val="none"/>
                <w:lang w:val="en-US" w:eastAsia="zh-CN"/>
              </w:rPr>
              <w:t>理财投资</w:t>
            </w:r>
            <w:r>
              <w:rPr>
                <w:rFonts w:hint="default" w:ascii="楷体_GB2312" w:hAnsi="Times New Roman" w:eastAsia="楷体_GB2312" w:cs="Times New Roman"/>
                <w:color w:val="000000"/>
                <w:kern w:val="2"/>
                <w:sz w:val="24"/>
                <w:szCs w:val="24"/>
                <w:highlight w:val="none"/>
              </w:rPr>
              <w:t>本金</w:t>
            </w:r>
            <w:r>
              <w:rPr>
                <w:rFonts w:hint="default" w:ascii="楷体_GB2312" w:hAnsi="Times New Roman" w:eastAsia="楷体_GB2312" w:cs="Times New Roman"/>
                <w:color w:val="000000"/>
                <w:kern w:val="2"/>
                <w:sz w:val="24"/>
                <w:szCs w:val="24"/>
                <w:highlight w:val="none"/>
                <w:lang w:val="en-US" w:eastAsia="zh-CN"/>
              </w:rPr>
              <w:t>遭受</w:t>
            </w:r>
            <w:r>
              <w:rPr>
                <w:rFonts w:hint="default" w:ascii="楷体_GB2312" w:hAnsi="Times New Roman" w:eastAsia="楷体_GB2312" w:cs="Times New Roman"/>
                <w:color w:val="000000"/>
                <w:kern w:val="2"/>
                <w:sz w:val="24"/>
                <w:szCs w:val="24"/>
                <w:highlight w:val="none"/>
              </w:rPr>
              <w:t>损失的可能性低。</w:t>
            </w:r>
          </w:p>
        </w:tc>
        <w:tc>
          <w:tcPr>
            <w:tcW w:w="3402" w:type="dxa"/>
            <w:vAlign w:val="top"/>
          </w:tcPr>
          <w:p w14:paraId="4F6551BB">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投资者风险承受能力评估为：谨慎型、稳健型、平衡型、进取型、激进型的投资者</w:t>
            </w:r>
          </w:p>
        </w:tc>
      </w:tr>
      <w:tr w14:paraId="56B0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76" w:type="dxa"/>
            <w:vAlign w:val="top"/>
          </w:tcPr>
          <w:p w14:paraId="6158160B">
            <w:pPr>
              <w:pStyle w:val="2"/>
              <w:ind w:left="0" w:leftChars="0" w:firstLine="0" w:firstLineChars="0"/>
              <w:jc w:val="center"/>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较低风险产品（PR2）</w:t>
            </w:r>
          </w:p>
        </w:tc>
        <w:tc>
          <w:tcPr>
            <w:tcW w:w="4231" w:type="dxa"/>
            <w:vAlign w:val="top"/>
          </w:tcPr>
          <w:p w14:paraId="27446890">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理财产品的总体风险较低，净值波动较小</w:t>
            </w:r>
            <w:r>
              <w:rPr>
                <w:rFonts w:hint="default" w:ascii="楷体_GB2312" w:hAnsi="Times New Roman" w:eastAsia="楷体_GB2312" w:cs="Times New Roman"/>
                <w:color w:val="000000"/>
                <w:kern w:val="2"/>
                <w:sz w:val="24"/>
                <w:szCs w:val="24"/>
                <w:highlight w:val="none"/>
                <w:lang w:eastAsia="zh-CN"/>
              </w:rPr>
              <w:t>，</w:t>
            </w:r>
            <w:r>
              <w:rPr>
                <w:rFonts w:hint="default" w:ascii="楷体_GB2312" w:hAnsi="Times New Roman" w:eastAsia="楷体_GB2312" w:cs="Times New Roman"/>
                <w:color w:val="000000"/>
                <w:kern w:val="2"/>
                <w:sz w:val="24"/>
                <w:szCs w:val="24"/>
                <w:highlight w:val="none"/>
                <w:lang w:val="en-US" w:eastAsia="zh-CN"/>
              </w:rPr>
              <w:t>理财投资</w:t>
            </w:r>
            <w:r>
              <w:rPr>
                <w:rFonts w:hint="default" w:ascii="楷体_GB2312" w:hAnsi="Times New Roman" w:eastAsia="楷体_GB2312" w:cs="Times New Roman"/>
                <w:color w:val="000000"/>
                <w:kern w:val="2"/>
                <w:sz w:val="24"/>
                <w:szCs w:val="24"/>
                <w:highlight w:val="none"/>
              </w:rPr>
              <w:t>本金</w:t>
            </w:r>
            <w:r>
              <w:rPr>
                <w:rFonts w:hint="default" w:ascii="楷体_GB2312" w:hAnsi="Times New Roman" w:eastAsia="楷体_GB2312" w:cs="Times New Roman"/>
                <w:color w:val="000000"/>
                <w:kern w:val="2"/>
                <w:sz w:val="24"/>
                <w:szCs w:val="24"/>
                <w:highlight w:val="none"/>
                <w:lang w:val="en-US" w:eastAsia="zh-CN"/>
              </w:rPr>
              <w:t>遭受</w:t>
            </w:r>
            <w:r>
              <w:rPr>
                <w:rFonts w:hint="default" w:ascii="楷体_GB2312" w:hAnsi="Times New Roman" w:eastAsia="楷体_GB2312" w:cs="Times New Roman"/>
                <w:color w:val="000000"/>
                <w:kern w:val="2"/>
                <w:sz w:val="24"/>
                <w:szCs w:val="24"/>
                <w:highlight w:val="none"/>
              </w:rPr>
              <w:t>损失的可能性较低。</w:t>
            </w:r>
          </w:p>
        </w:tc>
        <w:tc>
          <w:tcPr>
            <w:tcW w:w="3402" w:type="dxa"/>
            <w:vAlign w:val="top"/>
          </w:tcPr>
          <w:p w14:paraId="568BBA8F">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投资者风险承受能力评估为：稳健型、平衡型、进取型、激进型的投资者</w:t>
            </w:r>
          </w:p>
        </w:tc>
      </w:tr>
      <w:tr w14:paraId="3F5D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76" w:type="dxa"/>
            <w:vAlign w:val="top"/>
          </w:tcPr>
          <w:p w14:paraId="50B6A42E">
            <w:pPr>
              <w:pStyle w:val="2"/>
              <w:ind w:left="0" w:leftChars="0" w:firstLine="0" w:firstLineChars="0"/>
              <w:jc w:val="center"/>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中等风险产品（PR3）</w:t>
            </w:r>
          </w:p>
        </w:tc>
        <w:tc>
          <w:tcPr>
            <w:tcW w:w="4231" w:type="dxa"/>
            <w:vAlign w:val="top"/>
          </w:tcPr>
          <w:p w14:paraId="7250A856">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理财产品的总体风险中</w:t>
            </w:r>
            <w:r>
              <w:rPr>
                <w:rFonts w:hint="default" w:ascii="楷体_GB2312" w:hAnsi="Times New Roman" w:eastAsia="楷体_GB2312" w:cs="Times New Roman"/>
                <w:color w:val="000000"/>
                <w:kern w:val="2"/>
                <w:sz w:val="24"/>
                <w:szCs w:val="24"/>
                <w:highlight w:val="none"/>
                <w:lang w:val="en-US" w:eastAsia="zh-CN"/>
              </w:rPr>
              <w:t>等</w:t>
            </w:r>
            <w:r>
              <w:rPr>
                <w:rFonts w:hint="default" w:ascii="楷体_GB2312" w:hAnsi="Times New Roman" w:eastAsia="楷体_GB2312" w:cs="Times New Roman"/>
                <w:color w:val="000000"/>
                <w:kern w:val="2"/>
                <w:sz w:val="24"/>
                <w:szCs w:val="24"/>
                <w:highlight w:val="none"/>
              </w:rPr>
              <w:t>，净值</w:t>
            </w:r>
            <w:r>
              <w:rPr>
                <w:rFonts w:hint="default" w:ascii="楷体_GB2312" w:hAnsi="Times New Roman" w:eastAsia="楷体_GB2312" w:cs="Times New Roman"/>
                <w:color w:val="000000"/>
                <w:kern w:val="2"/>
                <w:sz w:val="24"/>
                <w:szCs w:val="24"/>
                <w:highlight w:val="none"/>
                <w:lang w:eastAsia="zh-CN"/>
              </w:rPr>
              <w:t>波动较大，</w:t>
            </w:r>
            <w:r>
              <w:rPr>
                <w:rFonts w:hint="default" w:ascii="楷体_GB2312" w:hAnsi="Times New Roman" w:eastAsia="楷体_GB2312" w:cs="Times New Roman"/>
                <w:color w:val="000000"/>
                <w:kern w:val="2"/>
                <w:sz w:val="24"/>
                <w:szCs w:val="24"/>
                <w:highlight w:val="none"/>
                <w:lang w:val="en-US" w:eastAsia="zh-CN"/>
              </w:rPr>
              <w:t>理财投资</w:t>
            </w:r>
            <w:r>
              <w:rPr>
                <w:rFonts w:hint="default" w:ascii="楷体_GB2312" w:hAnsi="Times New Roman" w:eastAsia="楷体_GB2312" w:cs="Times New Roman"/>
                <w:color w:val="000000"/>
                <w:kern w:val="2"/>
                <w:sz w:val="24"/>
                <w:szCs w:val="24"/>
                <w:highlight w:val="none"/>
              </w:rPr>
              <w:t>本金</w:t>
            </w:r>
            <w:r>
              <w:rPr>
                <w:rFonts w:hint="default" w:ascii="楷体_GB2312" w:hAnsi="Times New Roman" w:eastAsia="楷体_GB2312" w:cs="Times New Roman"/>
                <w:color w:val="000000"/>
                <w:kern w:val="2"/>
                <w:sz w:val="24"/>
                <w:szCs w:val="24"/>
                <w:highlight w:val="none"/>
                <w:lang w:val="en-US" w:eastAsia="zh-CN"/>
              </w:rPr>
              <w:t>遭受</w:t>
            </w:r>
            <w:r>
              <w:rPr>
                <w:rFonts w:hint="default" w:ascii="楷体_GB2312" w:hAnsi="Times New Roman" w:eastAsia="楷体_GB2312" w:cs="Times New Roman"/>
                <w:color w:val="000000"/>
                <w:kern w:val="2"/>
                <w:sz w:val="24"/>
                <w:szCs w:val="24"/>
                <w:highlight w:val="none"/>
              </w:rPr>
              <w:t>损失的可能性</w:t>
            </w:r>
            <w:r>
              <w:rPr>
                <w:rFonts w:hint="default" w:ascii="楷体_GB2312" w:hAnsi="Times New Roman" w:eastAsia="楷体_GB2312" w:cs="Times New Roman"/>
                <w:color w:val="000000"/>
                <w:kern w:val="2"/>
                <w:sz w:val="24"/>
                <w:szCs w:val="24"/>
                <w:highlight w:val="none"/>
                <w:lang w:val="en-US" w:eastAsia="zh-CN"/>
              </w:rPr>
              <w:t>较高</w:t>
            </w:r>
            <w:r>
              <w:rPr>
                <w:rFonts w:hint="default" w:ascii="楷体_GB2312" w:hAnsi="Times New Roman" w:eastAsia="楷体_GB2312" w:cs="Times New Roman"/>
                <w:color w:val="000000"/>
                <w:kern w:val="2"/>
                <w:sz w:val="24"/>
                <w:szCs w:val="24"/>
                <w:highlight w:val="none"/>
              </w:rPr>
              <w:t>。</w:t>
            </w:r>
          </w:p>
        </w:tc>
        <w:tc>
          <w:tcPr>
            <w:tcW w:w="3402" w:type="dxa"/>
            <w:vAlign w:val="top"/>
          </w:tcPr>
          <w:p w14:paraId="126E3F12">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投资者风险承受能力评估为：平衡型、进取型、激进型的投资者</w:t>
            </w:r>
          </w:p>
        </w:tc>
      </w:tr>
      <w:tr w14:paraId="2F73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76" w:type="dxa"/>
            <w:vAlign w:val="top"/>
          </w:tcPr>
          <w:p w14:paraId="5EF33DA4">
            <w:pPr>
              <w:pStyle w:val="2"/>
              <w:ind w:left="0" w:leftChars="0" w:firstLine="0" w:firstLineChars="0"/>
              <w:jc w:val="center"/>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较高风险产品（PR4）</w:t>
            </w:r>
          </w:p>
        </w:tc>
        <w:tc>
          <w:tcPr>
            <w:tcW w:w="4231" w:type="dxa"/>
            <w:vAlign w:val="top"/>
          </w:tcPr>
          <w:p w14:paraId="00951913">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理财产品的总体风险较高，净值</w:t>
            </w:r>
            <w:r>
              <w:rPr>
                <w:rFonts w:hint="default" w:ascii="楷体_GB2312" w:hAnsi="Times New Roman" w:eastAsia="楷体_GB2312" w:cs="Times New Roman"/>
                <w:color w:val="000000"/>
                <w:kern w:val="2"/>
                <w:sz w:val="24"/>
                <w:szCs w:val="24"/>
                <w:highlight w:val="none"/>
                <w:lang w:eastAsia="zh-CN"/>
              </w:rPr>
              <w:t>波动较大，</w:t>
            </w:r>
            <w:r>
              <w:rPr>
                <w:rFonts w:hint="default" w:ascii="楷体_GB2312" w:hAnsi="Times New Roman" w:eastAsia="楷体_GB2312" w:cs="Times New Roman"/>
                <w:color w:val="000000"/>
                <w:kern w:val="2"/>
                <w:sz w:val="24"/>
                <w:szCs w:val="24"/>
                <w:highlight w:val="none"/>
                <w:lang w:val="en-US" w:eastAsia="zh-CN"/>
              </w:rPr>
              <w:t>理财投资</w:t>
            </w:r>
            <w:r>
              <w:rPr>
                <w:rFonts w:hint="default" w:ascii="楷体_GB2312" w:hAnsi="Times New Roman" w:eastAsia="楷体_GB2312" w:cs="Times New Roman"/>
                <w:color w:val="000000"/>
                <w:kern w:val="2"/>
                <w:sz w:val="24"/>
                <w:szCs w:val="24"/>
                <w:highlight w:val="none"/>
              </w:rPr>
              <w:t>本金</w:t>
            </w:r>
            <w:r>
              <w:rPr>
                <w:rFonts w:hint="default" w:ascii="楷体_GB2312" w:hAnsi="Times New Roman" w:eastAsia="楷体_GB2312" w:cs="Times New Roman"/>
                <w:color w:val="000000"/>
                <w:kern w:val="2"/>
                <w:sz w:val="24"/>
                <w:szCs w:val="24"/>
                <w:highlight w:val="none"/>
                <w:lang w:val="en-US" w:eastAsia="zh-CN"/>
              </w:rPr>
              <w:t>遭受</w:t>
            </w:r>
            <w:r>
              <w:rPr>
                <w:rFonts w:hint="default" w:ascii="楷体_GB2312" w:hAnsi="Times New Roman" w:eastAsia="楷体_GB2312" w:cs="Times New Roman"/>
                <w:color w:val="000000"/>
                <w:kern w:val="2"/>
                <w:sz w:val="24"/>
                <w:szCs w:val="24"/>
                <w:highlight w:val="none"/>
              </w:rPr>
              <w:t>损失的可能性高。</w:t>
            </w:r>
          </w:p>
        </w:tc>
        <w:tc>
          <w:tcPr>
            <w:tcW w:w="3402" w:type="dxa"/>
            <w:vAlign w:val="top"/>
          </w:tcPr>
          <w:p w14:paraId="0C3654DC">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投资者风险承受能力评估为：进取型、激进型的投资者</w:t>
            </w:r>
          </w:p>
        </w:tc>
      </w:tr>
      <w:tr w14:paraId="512D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76" w:type="dxa"/>
            <w:vAlign w:val="top"/>
          </w:tcPr>
          <w:p w14:paraId="6DAAA3D0">
            <w:pPr>
              <w:pStyle w:val="2"/>
              <w:ind w:left="0" w:leftChars="0" w:firstLine="0" w:firstLineChars="0"/>
              <w:jc w:val="center"/>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高风险产品（PR5）</w:t>
            </w:r>
          </w:p>
        </w:tc>
        <w:tc>
          <w:tcPr>
            <w:tcW w:w="4231" w:type="dxa"/>
            <w:vAlign w:val="top"/>
          </w:tcPr>
          <w:p w14:paraId="4250D204">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理财产品的总体风险高，净值</w:t>
            </w:r>
            <w:r>
              <w:rPr>
                <w:rFonts w:hint="default" w:ascii="楷体_GB2312" w:hAnsi="Times New Roman" w:eastAsia="楷体_GB2312" w:cs="Times New Roman"/>
                <w:color w:val="000000"/>
                <w:kern w:val="2"/>
                <w:sz w:val="24"/>
                <w:szCs w:val="24"/>
                <w:highlight w:val="none"/>
                <w:lang w:eastAsia="zh-CN"/>
              </w:rPr>
              <w:t>波动</w:t>
            </w:r>
            <w:r>
              <w:rPr>
                <w:rFonts w:hint="default" w:ascii="楷体_GB2312" w:hAnsi="Times New Roman" w:eastAsia="楷体_GB2312" w:cs="Times New Roman"/>
                <w:color w:val="000000"/>
                <w:kern w:val="2"/>
                <w:sz w:val="24"/>
                <w:szCs w:val="24"/>
                <w:highlight w:val="none"/>
                <w:lang w:val="en-US" w:eastAsia="zh-CN"/>
              </w:rPr>
              <w:t>极</w:t>
            </w:r>
            <w:r>
              <w:rPr>
                <w:rFonts w:hint="default" w:ascii="楷体_GB2312" w:hAnsi="Times New Roman" w:eastAsia="楷体_GB2312" w:cs="Times New Roman"/>
                <w:color w:val="000000"/>
                <w:kern w:val="2"/>
                <w:sz w:val="24"/>
                <w:szCs w:val="24"/>
                <w:highlight w:val="none"/>
                <w:lang w:eastAsia="zh-CN"/>
              </w:rPr>
              <w:t>大，</w:t>
            </w:r>
            <w:r>
              <w:rPr>
                <w:rFonts w:hint="default" w:ascii="楷体_GB2312" w:hAnsi="Times New Roman" w:eastAsia="楷体_GB2312" w:cs="Times New Roman"/>
                <w:color w:val="000000"/>
                <w:kern w:val="2"/>
                <w:sz w:val="24"/>
                <w:szCs w:val="24"/>
                <w:highlight w:val="none"/>
                <w:lang w:val="en-US" w:eastAsia="zh-CN"/>
              </w:rPr>
              <w:t>理财投资</w:t>
            </w:r>
            <w:r>
              <w:rPr>
                <w:rFonts w:hint="default" w:ascii="楷体_GB2312" w:hAnsi="Times New Roman" w:eastAsia="楷体_GB2312" w:cs="Times New Roman"/>
                <w:color w:val="000000"/>
                <w:kern w:val="2"/>
                <w:sz w:val="24"/>
                <w:szCs w:val="24"/>
                <w:highlight w:val="none"/>
              </w:rPr>
              <w:t>本金</w:t>
            </w:r>
            <w:r>
              <w:rPr>
                <w:rFonts w:hint="default" w:ascii="楷体_GB2312" w:hAnsi="Times New Roman" w:eastAsia="楷体_GB2312" w:cs="Times New Roman"/>
                <w:color w:val="000000"/>
                <w:kern w:val="2"/>
                <w:sz w:val="24"/>
                <w:szCs w:val="24"/>
                <w:highlight w:val="none"/>
                <w:lang w:val="en-US" w:eastAsia="zh-CN"/>
              </w:rPr>
              <w:t>遭受</w:t>
            </w:r>
            <w:r>
              <w:rPr>
                <w:rFonts w:hint="default" w:ascii="楷体_GB2312" w:hAnsi="Times New Roman" w:eastAsia="楷体_GB2312" w:cs="Times New Roman"/>
                <w:color w:val="000000"/>
                <w:kern w:val="2"/>
                <w:sz w:val="24"/>
                <w:szCs w:val="24"/>
                <w:highlight w:val="none"/>
              </w:rPr>
              <w:t>损失的可能性极高。</w:t>
            </w:r>
          </w:p>
        </w:tc>
        <w:tc>
          <w:tcPr>
            <w:tcW w:w="3402" w:type="dxa"/>
            <w:vAlign w:val="top"/>
          </w:tcPr>
          <w:p w14:paraId="2F17EAB7">
            <w:pPr>
              <w:pStyle w:val="2"/>
              <w:ind w:left="0" w:leftChars="0" w:firstLine="0" w:firstLineChars="0"/>
              <w:jc w:val="both"/>
              <w:rPr>
                <w:rFonts w:ascii="楷体_GB2312" w:hAnsi="Times New Roman" w:eastAsia="楷体_GB2312" w:cs="Times New Roman"/>
                <w:color w:val="000000"/>
                <w:kern w:val="2"/>
                <w:sz w:val="24"/>
                <w:szCs w:val="24"/>
                <w:highlight w:val="none"/>
              </w:rPr>
            </w:pPr>
            <w:r>
              <w:rPr>
                <w:rFonts w:hint="default" w:ascii="楷体_GB2312" w:hAnsi="Times New Roman" w:eastAsia="楷体_GB2312" w:cs="Times New Roman"/>
                <w:color w:val="000000"/>
                <w:kern w:val="2"/>
                <w:sz w:val="24"/>
                <w:szCs w:val="24"/>
                <w:highlight w:val="none"/>
              </w:rPr>
              <w:t>投资者风险承受能力评估为：激进型的投资者</w:t>
            </w:r>
          </w:p>
        </w:tc>
      </w:tr>
    </w:tbl>
    <w:p w14:paraId="7E458184">
      <w:pPr>
        <w:spacing w:line="360" w:lineRule="auto"/>
        <w:outlineLvl w:val="0"/>
        <w:rPr>
          <w:rFonts w:hint="default" w:ascii="楷体_GB2312" w:hAnsi="Times New Roman" w:eastAsia="楷体_GB2312" w:cs="Times New Roman"/>
          <w:color w:val="000000"/>
          <w:sz w:val="24"/>
          <w:szCs w:val="24"/>
          <w:highlight w:val="none"/>
        </w:rPr>
      </w:pPr>
      <w:r>
        <w:rPr>
          <w:rFonts w:hint="default" w:ascii="楷体_GB2312" w:hAnsi="Times New Roman" w:eastAsia="楷体_GB2312" w:cs="Times New Roman"/>
          <w:color w:val="000000"/>
          <w:sz w:val="21"/>
          <w:szCs w:val="21"/>
          <w:highlight w:val="none"/>
        </w:rPr>
        <w:t xml:space="preserve">    </w:t>
      </w:r>
      <w:r>
        <w:rPr>
          <w:rFonts w:hint="default" w:ascii="楷体_GB2312" w:hAnsi="Times New Roman" w:eastAsia="楷体_GB2312" w:cs="Times New Roman"/>
          <w:color w:val="000000"/>
          <w:sz w:val="24"/>
          <w:szCs w:val="24"/>
          <w:highlight w:val="none"/>
          <w:lang w:val="en-US" w:eastAsia="zh-CN"/>
        </w:rPr>
        <w:t>专业投资者具体管理要求</w:t>
      </w:r>
      <w:r>
        <w:rPr>
          <w:rFonts w:hint="default" w:ascii="楷体_GB2312" w:hAnsi="Times New Roman" w:eastAsia="楷体_GB2312" w:cs="Times New Roman"/>
          <w:color w:val="000000"/>
          <w:sz w:val="24"/>
          <w:szCs w:val="24"/>
          <w:highlight w:val="none"/>
        </w:rPr>
        <w:t>以销售机构为准</w:t>
      </w:r>
      <w:r>
        <w:rPr>
          <w:rFonts w:hint="default" w:ascii="楷体_GB2312" w:hAnsi="Times New Roman" w:eastAsia="楷体_GB2312" w:cs="Times New Roman"/>
          <w:color w:val="000000"/>
          <w:sz w:val="24"/>
          <w:szCs w:val="24"/>
          <w:highlight w:val="none"/>
          <w:lang w:eastAsia="zh-CN"/>
        </w:rPr>
        <w:t>。</w:t>
      </w:r>
    </w:p>
    <w:p w14:paraId="5DA2A147">
      <w:pPr>
        <w:numPr>
          <w:ilvl w:val="0"/>
          <w:numId w:val="0"/>
        </w:numPr>
        <w:ind w:firstLine="0" w:firstLineChars="0"/>
        <w:outlineLvl w:val="0"/>
        <w:rPr>
          <w:highlight w:val="none"/>
        </w:rPr>
      </w:pPr>
      <w:r>
        <w:rPr>
          <w:rFonts w:hint="eastAsia" w:ascii="楷体_GB2312" w:eastAsia="楷体_GB2312"/>
          <w:color w:val="000000"/>
          <w:sz w:val="24"/>
          <w:highlight w:val="none"/>
          <w:lang w:val="en-US" w:eastAsia="zh-CN"/>
        </w:rPr>
        <w:t xml:space="preserve">    </w:t>
      </w:r>
      <w:r>
        <w:rPr>
          <w:rFonts w:hint="eastAsia" w:ascii="楷体_GB2312" w:eastAsia="楷体_GB2312"/>
          <w:b/>
          <w:bCs/>
          <w:color w:val="000000"/>
          <w:sz w:val="24"/>
          <w:highlight w:val="none"/>
          <w:lang w:val="en-US" w:eastAsia="zh-CN"/>
        </w:rPr>
        <w:t>三、代</w:t>
      </w:r>
      <w:r>
        <w:rPr>
          <w:rFonts w:hint="eastAsia" w:ascii="楷体_GB2312" w:eastAsia="楷体_GB2312"/>
          <w:b/>
          <w:bCs/>
          <w:color w:val="000000"/>
          <w:sz w:val="24"/>
          <w:highlight w:val="none"/>
        </w:rPr>
        <w:t>销机构代理销售理财产品的流程</w:t>
      </w:r>
    </w:p>
    <w:p w14:paraId="025F2C89">
      <w:pPr>
        <w:numPr>
          <w:ilvl w:val="0"/>
          <w:numId w:val="2"/>
        </w:numPr>
        <w:ind w:firstLine="480" w:firstLineChars="200"/>
        <w:outlineLvl w:val="0"/>
        <w:rPr>
          <w:rFonts w:ascii="楷体_GB2312" w:eastAsia="楷体_GB2312"/>
          <w:color w:val="000000"/>
          <w:sz w:val="24"/>
          <w:highlight w:val="none"/>
        </w:rPr>
      </w:pPr>
      <w:r>
        <w:rPr>
          <w:rFonts w:ascii="楷体_GB2312" w:eastAsia="楷体_GB2312"/>
          <w:color w:val="000000"/>
          <w:sz w:val="24"/>
          <w:highlight w:val="none"/>
        </w:rPr>
        <w:t>首次在</w:t>
      </w:r>
      <w:r>
        <w:rPr>
          <w:rFonts w:hint="eastAsia" w:ascii="楷体_GB2312" w:eastAsia="楷体_GB2312"/>
          <w:color w:val="000000"/>
          <w:sz w:val="24"/>
          <w:highlight w:val="none"/>
          <w:lang w:val="en-US" w:eastAsia="zh-CN"/>
        </w:rPr>
        <w:t>代</w:t>
      </w:r>
      <w:r>
        <w:rPr>
          <w:rFonts w:ascii="楷体_GB2312" w:eastAsia="楷体_GB2312"/>
          <w:color w:val="000000"/>
          <w:sz w:val="24"/>
          <w:highlight w:val="none"/>
        </w:rPr>
        <w:t xml:space="preserve">销机构购买理财产品的投资者需开立相应资金账户，提供并确认正确的联系方式。 </w:t>
      </w:r>
    </w:p>
    <w:p w14:paraId="2DC0CB50">
      <w:pPr>
        <w:numPr>
          <w:ilvl w:val="0"/>
          <w:numId w:val="2"/>
        </w:numPr>
        <w:ind w:firstLine="480" w:firstLineChars="200"/>
        <w:outlineLvl w:val="0"/>
        <w:rPr>
          <w:rFonts w:ascii="楷体_GB2312" w:eastAsia="楷体_GB2312"/>
          <w:color w:val="000000"/>
          <w:sz w:val="24"/>
          <w:highlight w:val="none"/>
        </w:rPr>
      </w:pPr>
      <w:r>
        <w:rPr>
          <w:rFonts w:ascii="楷体_GB2312" w:eastAsia="楷体_GB2312"/>
          <w:color w:val="000000"/>
          <w:sz w:val="24"/>
          <w:highlight w:val="none"/>
        </w:rPr>
        <w:t>首次在</w:t>
      </w:r>
      <w:r>
        <w:rPr>
          <w:rFonts w:hint="eastAsia" w:ascii="楷体_GB2312" w:eastAsia="楷体_GB2312"/>
          <w:color w:val="000000"/>
          <w:sz w:val="24"/>
          <w:highlight w:val="none"/>
          <w:lang w:val="en-US" w:eastAsia="zh-CN"/>
        </w:rPr>
        <w:t>代</w:t>
      </w:r>
      <w:r>
        <w:rPr>
          <w:rFonts w:ascii="楷体_GB2312" w:eastAsia="楷体_GB2312"/>
          <w:color w:val="000000"/>
          <w:sz w:val="24"/>
          <w:highlight w:val="none"/>
        </w:rPr>
        <w:t>销机构购买</w:t>
      </w:r>
      <w:r>
        <w:rPr>
          <w:rFonts w:hint="eastAsia" w:ascii="楷体_GB2312" w:eastAsia="楷体_GB2312"/>
          <w:color w:val="000000"/>
          <w:sz w:val="24"/>
          <w:highlight w:val="none"/>
        </w:rPr>
        <w:t>北银</w:t>
      </w:r>
      <w:r>
        <w:rPr>
          <w:rFonts w:ascii="楷体_GB2312" w:eastAsia="楷体_GB2312"/>
          <w:color w:val="000000"/>
          <w:sz w:val="24"/>
          <w:highlight w:val="none"/>
        </w:rPr>
        <w:t>理财</w:t>
      </w:r>
      <w:r>
        <w:rPr>
          <w:rFonts w:hint="eastAsia" w:ascii="楷体_GB2312" w:eastAsia="楷体_GB2312"/>
          <w:color w:val="000000"/>
          <w:sz w:val="24"/>
          <w:highlight w:val="none"/>
          <w:lang w:eastAsia="zh-CN"/>
        </w:rPr>
        <w:t>理财</w:t>
      </w:r>
      <w:r>
        <w:rPr>
          <w:rFonts w:ascii="楷体_GB2312" w:eastAsia="楷体_GB2312"/>
          <w:color w:val="000000"/>
          <w:sz w:val="24"/>
          <w:highlight w:val="none"/>
        </w:rPr>
        <w:t>产品的投资者需进行投资者风险承受能力评估，并确认风险承受能力等级</w:t>
      </w:r>
      <w:r>
        <w:rPr>
          <w:rFonts w:hint="eastAsia" w:ascii="楷体_GB2312" w:eastAsia="楷体_GB2312"/>
          <w:color w:val="000000"/>
          <w:sz w:val="24"/>
          <w:highlight w:val="none"/>
        </w:rPr>
        <w:t>评估结果</w:t>
      </w:r>
      <w:r>
        <w:rPr>
          <w:rFonts w:ascii="楷体_GB2312" w:eastAsia="楷体_GB2312"/>
          <w:color w:val="000000"/>
          <w:sz w:val="24"/>
          <w:highlight w:val="none"/>
        </w:rPr>
        <w:t>不低于本理财产品风险评级。</w:t>
      </w:r>
    </w:p>
    <w:p w14:paraId="0680E80A">
      <w:pPr>
        <w:numPr>
          <w:ilvl w:val="0"/>
          <w:numId w:val="2"/>
        </w:numPr>
        <w:ind w:firstLine="480" w:firstLineChars="200"/>
        <w:outlineLvl w:val="0"/>
        <w:rPr>
          <w:rFonts w:ascii="楷体_GB2312" w:eastAsia="楷体_GB2312"/>
          <w:color w:val="000000"/>
          <w:sz w:val="24"/>
          <w:highlight w:val="none"/>
        </w:rPr>
      </w:pPr>
      <w:r>
        <w:rPr>
          <w:rFonts w:ascii="楷体_GB2312" w:eastAsia="楷体_GB2312"/>
          <w:color w:val="000000"/>
          <w:sz w:val="24"/>
          <w:highlight w:val="none"/>
        </w:rPr>
        <w:t>仔细阅读本理财产品完整销售文件（</w:t>
      </w:r>
      <w:r>
        <w:rPr>
          <w:rFonts w:hint="eastAsia" w:ascii="楷体_GB2312" w:eastAsia="楷体_GB2312"/>
          <w:color w:val="000000"/>
          <w:sz w:val="24"/>
          <w:highlight w:val="none"/>
          <w:lang w:val="en-US" w:eastAsia="zh-CN"/>
        </w:rPr>
        <w:t>本</w:t>
      </w:r>
      <w:r>
        <w:rPr>
          <w:rFonts w:hint="eastAsia" w:ascii="楷体_GB2312" w:hAnsi="楷体" w:eastAsia="楷体_GB2312"/>
          <w:sz w:val="24"/>
          <w:highlight w:val="none"/>
          <w:lang w:eastAsia="zh-CN"/>
        </w:rPr>
        <w:t>《投资者权益须知》、《</w:t>
      </w:r>
      <w:r>
        <w:rPr>
          <w:rFonts w:hint="eastAsia" w:ascii="楷体_GB2312" w:hAnsi="楷体" w:eastAsia="楷体_GB2312"/>
          <w:sz w:val="24"/>
          <w:highlight w:val="none"/>
        </w:rPr>
        <w:t>风险揭示书</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w:t>
      </w:r>
      <w:r>
        <w:rPr>
          <w:rFonts w:hint="eastAsia" w:ascii="楷体_GB2312" w:hAnsi="楷体" w:eastAsia="楷体_GB2312"/>
          <w:sz w:val="24"/>
          <w:highlight w:val="none"/>
          <w:lang w:eastAsia="zh-CN"/>
        </w:rPr>
        <w:t>《理财产品投资协议书》、《理财产品说明书》</w:t>
      </w:r>
      <w:r>
        <w:rPr>
          <w:rFonts w:hint="eastAsia" w:ascii="楷体_GB2312" w:hAnsi="楷体" w:eastAsia="楷体_GB2312"/>
          <w:sz w:val="24"/>
          <w:highlight w:val="none"/>
          <w:lang w:val="en-US" w:eastAsia="zh-CN"/>
        </w:rPr>
        <w:t>和</w:t>
      </w:r>
      <w:r>
        <w:rPr>
          <w:rFonts w:hint="eastAsia" w:ascii="楷体_GB2312" w:hAnsi="楷体" w:eastAsia="楷体_GB2312"/>
          <w:b w:val="0"/>
          <w:bCs w:val="0"/>
          <w:sz w:val="24"/>
          <w:szCs w:val="24"/>
          <w:highlight w:val="none"/>
          <w:lang w:val="en-US" w:eastAsia="zh-CN"/>
        </w:rPr>
        <w:t>《代理销售</w:t>
      </w:r>
      <w:r>
        <w:rPr>
          <w:rFonts w:hint="eastAsia" w:ascii="楷体_GB2312" w:hAnsi="楷体" w:eastAsia="楷体_GB2312"/>
          <w:b w:val="0"/>
          <w:bCs w:val="0"/>
          <w:sz w:val="24"/>
          <w:highlight w:val="none"/>
        </w:rPr>
        <w:t>协议书</w:t>
      </w:r>
      <w:r>
        <w:rPr>
          <w:rFonts w:hint="eastAsia" w:ascii="楷体_GB2312" w:hAnsi="楷体" w:eastAsia="楷体_GB2312"/>
          <w:b w:val="0"/>
          <w:bCs w:val="0"/>
          <w:sz w:val="24"/>
          <w:highlight w:val="none"/>
          <w:lang w:eastAsia="zh-CN"/>
        </w:rPr>
        <w:t>》</w:t>
      </w:r>
      <w:r>
        <w:rPr>
          <w:rFonts w:hint="eastAsia" w:ascii="楷体_GB2312" w:hAnsi="楷体" w:eastAsia="楷体_GB2312"/>
          <w:b w:val="0"/>
          <w:bCs/>
          <w:sz w:val="24"/>
          <w:highlight w:val="none"/>
          <w:lang w:eastAsia="zh-CN"/>
        </w:rPr>
        <w:t>（</w:t>
      </w:r>
      <w:r>
        <w:rPr>
          <w:rFonts w:hint="eastAsia" w:ascii="楷体_GB2312" w:hAnsi="楷体" w:eastAsia="楷体_GB2312"/>
          <w:b w:val="0"/>
          <w:bCs/>
          <w:sz w:val="24"/>
          <w:highlight w:val="none"/>
          <w:lang w:val="en-US" w:eastAsia="zh-CN"/>
        </w:rPr>
        <w:t>具体名称以代销机构为准</w:t>
      </w:r>
      <w:r>
        <w:rPr>
          <w:rFonts w:hint="eastAsia" w:ascii="楷体_GB2312" w:hAnsi="楷体" w:eastAsia="楷体_GB2312"/>
          <w:b w:val="0"/>
          <w:bCs/>
          <w:sz w:val="24"/>
          <w:highlight w:val="none"/>
          <w:lang w:eastAsia="zh-CN"/>
        </w:rPr>
        <w:t>）</w:t>
      </w:r>
      <w:r>
        <w:rPr>
          <w:rFonts w:ascii="楷体_GB2312" w:eastAsia="楷体_GB2312"/>
          <w:color w:val="000000"/>
          <w:sz w:val="24"/>
          <w:highlight w:val="none"/>
        </w:rPr>
        <w:t>），理解并确认本理财产品完整销售文件</w:t>
      </w:r>
      <w:r>
        <w:rPr>
          <w:rFonts w:hint="eastAsia" w:ascii="楷体_GB2312" w:eastAsia="楷体_GB2312"/>
          <w:color w:val="000000"/>
          <w:sz w:val="24"/>
          <w:highlight w:val="none"/>
          <w:lang w:val="en-US" w:eastAsia="zh-CN"/>
        </w:rPr>
        <w:t>全部</w:t>
      </w:r>
      <w:r>
        <w:rPr>
          <w:rFonts w:ascii="楷体_GB2312" w:eastAsia="楷体_GB2312"/>
          <w:color w:val="000000"/>
          <w:sz w:val="24"/>
          <w:highlight w:val="none"/>
        </w:rPr>
        <w:t>条款及产品风险。</w:t>
      </w:r>
    </w:p>
    <w:p w14:paraId="31934E13">
      <w:pPr>
        <w:numPr>
          <w:ilvl w:val="0"/>
          <w:numId w:val="2"/>
        </w:numPr>
        <w:ind w:firstLine="480" w:firstLineChars="200"/>
        <w:outlineLvl w:val="0"/>
        <w:rPr>
          <w:rFonts w:ascii="楷体_GB2312" w:eastAsia="楷体_GB2312"/>
          <w:color w:val="000000"/>
          <w:sz w:val="24"/>
          <w:highlight w:val="none"/>
        </w:rPr>
      </w:pPr>
      <w:r>
        <w:rPr>
          <w:rFonts w:ascii="楷体_GB2312" w:eastAsia="楷体_GB2312"/>
          <w:color w:val="000000"/>
          <w:sz w:val="24"/>
          <w:highlight w:val="none"/>
        </w:rPr>
        <w:t>确定购买金额，完成交易申请，并在</w:t>
      </w:r>
      <w:r>
        <w:rPr>
          <w:rFonts w:hint="eastAsia" w:ascii="楷体_GB2312" w:eastAsia="楷体_GB2312"/>
          <w:color w:val="000000"/>
          <w:sz w:val="24"/>
          <w:highlight w:val="none"/>
        </w:rPr>
        <w:t>北银</w:t>
      </w:r>
      <w:r>
        <w:rPr>
          <w:rFonts w:ascii="楷体_GB2312" w:eastAsia="楷体_GB2312"/>
          <w:color w:val="000000"/>
          <w:sz w:val="24"/>
          <w:highlight w:val="none"/>
        </w:rPr>
        <w:t>理财系统确认投资者购买份额后及时进行查询。</w:t>
      </w:r>
    </w:p>
    <w:p w14:paraId="074A86DF">
      <w:pPr>
        <w:ind w:firstLine="482" w:firstLineChars="200"/>
        <w:outlineLvl w:val="0"/>
        <w:rPr>
          <w:rFonts w:ascii="楷体_GB2312" w:eastAsia="楷体_GB2312"/>
          <w:b/>
          <w:bCs/>
          <w:color w:val="000000"/>
          <w:sz w:val="24"/>
          <w:highlight w:val="none"/>
        </w:rPr>
      </w:pPr>
      <w:r>
        <w:rPr>
          <w:rFonts w:hint="eastAsia" w:ascii="楷体_GB2312" w:eastAsia="楷体_GB2312"/>
          <w:b/>
          <w:bCs/>
          <w:color w:val="000000"/>
          <w:sz w:val="24"/>
          <w:highlight w:val="none"/>
        </w:rPr>
        <w:t>四</w:t>
      </w:r>
      <w:r>
        <w:rPr>
          <w:rFonts w:ascii="楷体_GB2312" w:eastAsia="楷体_GB2312"/>
          <w:b/>
          <w:bCs/>
          <w:color w:val="000000"/>
          <w:sz w:val="24"/>
          <w:highlight w:val="none"/>
        </w:rPr>
        <w:t>、理财产品信息披露的方式、渠道和频率</w:t>
      </w:r>
    </w:p>
    <w:p w14:paraId="7D3DE7DF">
      <w:pPr>
        <w:ind w:firstLine="480" w:firstLineChars="200"/>
        <w:outlineLvl w:val="0"/>
        <w:rPr>
          <w:rFonts w:ascii="楷体_GB2312" w:eastAsia="楷体_GB2312"/>
          <w:color w:val="000000"/>
          <w:sz w:val="24"/>
          <w:highlight w:val="none"/>
        </w:rPr>
      </w:pPr>
      <w:r>
        <w:rPr>
          <w:rFonts w:hint="eastAsia" w:ascii="楷体_GB2312" w:eastAsia="楷体_GB2312"/>
          <w:color w:val="000000"/>
          <w:sz w:val="24"/>
          <w:highlight w:val="none"/>
        </w:rPr>
        <w:t>信息披露的方式、渠道和频率，投资者可以根据本理财产品对应的《理财产品说明书》中“十、产品的信息披露”部分的约定，或通过拨打代销机构客户服务热线、登录管理人</w:t>
      </w:r>
      <w:r>
        <w:rPr>
          <w:rFonts w:hint="eastAsia" w:ascii="楷体_GB2312" w:eastAsia="楷体_GB2312"/>
          <w:color w:val="000000"/>
          <w:sz w:val="24"/>
          <w:highlight w:val="none"/>
          <w:lang w:val="en-US" w:eastAsia="zh-CN"/>
        </w:rPr>
        <w:t>官方</w:t>
      </w:r>
      <w:r>
        <w:rPr>
          <w:rFonts w:hint="eastAsia" w:ascii="楷体_GB2312" w:eastAsia="楷体_GB2312"/>
          <w:color w:val="000000"/>
          <w:sz w:val="24"/>
          <w:highlight w:val="none"/>
        </w:rPr>
        <w:t>网站或代销机构指定电子渠道、中国理财网或监管机构认可的其他公开渠道以及通过代销机构营业网点进行查询。</w:t>
      </w:r>
    </w:p>
    <w:p w14:paraId="4B6E219F">
      <w:pPr>
        <w:ind w:firstLine="470" w:firstLineChars="196"/>
        <w:outlineLvl w:val="0"/>
        <w:rPr>
          <w:rFonts w:ascii="楷体_GB2312" w:eastAsia="楷体_GB2312"/>
          <w:color w:val="000000"/>
          <w:sz w:val="24"/>
          <w:highlight w:val="none"/>
        </w:rPr>
      </w:pPr>
      <w:r>
        <w:rPr>
          <w:rFonts w:hint="eastAsia" w:ascii="楷体_GB2312" w:eastAsia="楷体_GB2312"/>
          <w:color w:val="000000"/>
          <w:sz w:val="24"/>
          <w:highlight w:val="none"/>
        </w:rPr>
        <w:t>五</w:t>
      </w:r>
      <w:r>
        <w:rPr>
          <w:rFonts w:ascii="楷体_GB2312" w:eastAsia="楷体_GB2312"/>
          <w:color w:val="000000"/>
          <w:sz w:val="24"/>
          <w:highlight w:val="none"/>
        </w:rPr>
        <w:t>、投资者投诉方式和程序</w:t>
      </w:r>
    </w:p>
    <w:p w14:paraId="08F0FC2F">
      <w:pPr>
        <w:ind w:firstLine="470" w:firstLineChars="196"/>
        <w:outlineLvl w:val="0"/>
        <w:rPr>
          <w:rFonts w:ascii="楷体_GB2312" w:eastAsia="楷体_GB2312"/>
          <w:color w:val="000000"/>
          <w:sz w:val="24"/>
          <w:highlight w:val="none"/>
        </w:rPr>
      </w:pPr>
      <w:r>
        <w:rPr>
          <w:rFonts w:ascii="楷体_GB2312" w:eastAsia="楷体_GB2312"/>
          <w:color w:val="000000"/>
          <w:sz w:val="24"/>
          <w:highlight w:val="none"/>
        </w:rPr>
        <w:t>投资者如对代销机构推介、销售的</w:t>
      </w:r>
      <w:r>
        <w:rPr>
          <w:rFonts w:hint="eastAsia" w:ascii="楷体_GB2312" w:eastAsia="楷体_GB2312"/>
          <w:color w:val="000000"/>
          <w:sz w:val="24"/>
          <w:highlight w:val="none"/>
          <w:lang w:eastAsia="zh-CN"/>
        </w:rPr>
        <w:t>理财</w:t>
      </w:r>
      <w:r>
        <w:rPr>
          <w:rFonts w:ascii="楷体_GB2312" w:eastAsia="楷体_GB2312"/>
          <w:color w:val="000000"/>
          <w:sz w:val="24"/>
          <w:highlight w:val="none"/>
        </w:rPr>
        <w:t>产品认为有不实或未尽风险告知职责或其它疑义事项，或需进行业务咨询和投诉时，投资者可通过拨打代销机构客户服务热线或至代销机构营业网点等方式反馈，代销机构将由专人接听、记录您的意见或建议，并由</w:t>
      </w:r>
      <w:r>
        <w:rPr>
          <w:rFonts w:hint="eastAsia" w:ascii="楷体_GB2312" w:eastAsia="楷体_GB2312"/>
          <w:color w:val="000000"/>
          <w:sz w:val="24"/>
          <w:highlight w:val="none"/>
          <w:lang w:eastAsia="zh-CN"/>
        </w:rPr>
        <w:t>产品管理人</w:t>
      </w:r>
      <w:r>
        <w:rPr>
          <w:rFonts w:ascii="楷体_GB2312" w:eastAsia="楷体_GB2312"/>
          <w:color w:val="000000"/>
          <w:sz w:val="24"/>
          <w:highlight w:val="none"/>
        </w:rPr>
        <w:t>及代销机构双方协商共同解决。</w:t>
      </w:r>
    </w:p>
    <w:p w14:paraId="4B8374E1">
      <w:pPr>
        <w:ind w:firstLine="470" w:firstLineChars="196"/>
        <w:outlineLvl w:val="0"/>
        <w:rPr>
          <w:rFonts w:ascii="楷体_GB2312" w:eastAsia="楷体_GB2312"/>
          <w:color w:val="000000"/>
          <w:sz w:val="24"/>
          <w:highlight w:val="none"/>
        </w:rPr>
      </w:pPr>
      <w:r>
        <w:rPr>
          <w:rFonts w:hint="eastAsia" w:ascii="楷体_GB2312" w:eastAsia="楷体_GB2312"/>
          <w:color w:val="000000"/>
          <w:sz w:val="24"/>
          <w:highlight w:val="none"/>
        </w:rPr>
        <w:t>六</w:t>
      </w:r>
      <w:r>
        <w:rPr>
          <w:rFonts w:ascii="楷体_GB2312" w:eastAsia="楷体_GB2312"/>
          <w:color w:val="000000"/>
          <w:sz w:val="24"/>
          <w:highlight w:val="none"/>
        </w:rPr>
        <w:t>、联络方式</w:t>
      </w:r>
    </w:p>
    <w:p w14:paraId="241B53A0">
      <w:pPr>
        <w:ind w:firstLine="470" w:firstLineChars="196"/>
        <w:outlineLvl w:val="0"/>
        <w:rPr>
          <w:rFonts w:ascii="楷体_GB2312" w:eastAsia="楷体_GB2312"/>
          <w:b/>
          <w:bCs/>
          <w:color w:val="000000"/>
          <w:sz w:val="24"/>
          <w:highlight w:val="none"/>
        </w:rPr>
      </w:pPr>
      <w:r>
        <w:rPr>
          <w:rFonts w:ascii="楷体_GB2312" w:eastAsia="楷体_GB2312"/>
          <w:color w:val="000000"/>
          <w:sz w:val="24"/>
          <w:highlight w:val="none"/>
        </w:rPr>
        <w:t>（一）</w:t>
      </w:r>
      <w:r>
        <w:rPr>
          <w:rFonts w:hint="eastAsia" w:ascii="楷体_GB2312" w:eastAsia="楷体_GB2312"/>
          <w:b w:val="0"/>
          <w:bCs w:val="0"/>
          <w:color w:val="000000"/>
          <w:sz w:val="24"/>
          <w:highlight w:val="none"/>
        </w:rPr>
        <w:t>代销机构</w:t>
      </w:r>
      <w:r>
        <w:rPr>
          <w:rFonts w:ascii="楷体_GB2312" w:eastAsia="楷体_GB2312"/>
          <w:b w:val="0"/>
          <w:bCs w:val="0"/>
          <w:color w:val="000000"/>
          <w:sz w:val="24"/>
          <w:highlight w:val="none"/>
        </w:rPr>
        <w:t>的联络方式</w:t>
      </w:r>
    </w:p>
    <w:p w14:paraId="69B9AB0E">
      <w:pPr>
        <w:ind w:firstLine="480" w:firstLineChars="200"/>
        <w:outlineLvl w:val="0"/>
        <w:rPr>
          <w:rFonts w:hint="default" w:ascii="楷体_GB2312" w:hAnsi="宋体" w:eastAsia="楷体_GB2312"/>
          <w:color w:val="auto"/>
          <w:sz w:val="24"/>
          <w:lang w:val="en-US"/>
        </w:rPr>
      </w:pPr>
      <w:r>
        <w:rPr>
          <w:rFonts w:hint="eastAsia" w:ascii="楷体_GB2312" w:eastAsia="楷体_GB2312"/>
          <w:bCs/>
          <w:color w:val="auto"/>
          <w:sz w:val="24"/>
          <w:highlight w:val="none"/>
          <w:lang w:val="en-US" w:eastAsia="zh-CN"/>
        </w:rPr>
        <w:t>A类份额</w:t>
      </w:r>
      <w:r>
        <w:rPr>
          <w:rFonts w:hint="eastAsia" w:ascii="楷体_GB2312" w:hAnsi="宋体" w:eastAsia="楷体_GB2312"/>
          <w:color w:val="auto"/>
          <w:sz w:val="24"/>
        </w:rPr>
        <w:t>代销机构名称：</w:t>
      </w:r>
      <w:r>
        <w:rPr>
          <w:rFonts w:hint="eastAsia" w:ascii="楷体_GB2312" w:hAnsi="宋体" w:eastAsia="楷体_GB2312"/>
          <w:color w:val="auto"/>
          <w:sz w:val="24"/>
          <w:lang w:val="en-US" w:eastAsia="zh-CN"/>
        </w:rPr>
        <w:t>绍兴银行股份有限公司</w:t>
      </w:r>
    </w:p>
    <w:p w14:paraId="0B68F9E0">
      <w:pPr>
        <w:ind w:firstLine="480" w:firstLineChars="200"/>
        <w:outlineLvl w:val="0"/>
        <w:rPr>
          <w:rFonts w:hint="default" w:ascii="楷体_GB2312" w:hAnsi="宋体" w:eastAsia="楷体_GB2312"/>
          <w:color w:val="auto"/>
          <w:sz w:val="24"/>
          <w:lang w:val="en-US"/>
        </w:rPr>
      </w:pPr>
      <w:r>
        <w:rPr>
          <w:rFonts w:hint="eastAsia" w:ascii="楷体_GB2312" w:hAnsi="宋体" w:eastAsia="楷体_GB2312"/>
          <w:color w:val="auto"/>
          <w:sz w:val="24"/>
          <w:lang w:val="en-US" w:eastAsia="zh-CN"/>
        </w:rPr>
        <w:t>代销机构客户服务热线：0575-96528</w:t>
      </w:r>
    </w:p>
    <w:p w14:paraId="6E640B49">
      <w:pPr>
        <w:ind w:firstLine="480" w:firstLineChars="200"/>
        <w:outlineLvl w:val="0"/>
        <w:rPr>
          <w:rFonts w:hint="default" w:ascii="楷体_GB2312" w:hAnsi="宋体" w:eastAsia="楷体_GB2312"/>
          <w:color w:val="auto"/>
          <w:sz w:val="24"/>
          <w:lang w:val="en-US" w:eastAsia="zh-CN"/>
        </w:rPr>
      </w:pPr>
      <w:r>
        <w:rPr>
          <w:rFonts w:hint="eastAsia" w:ascii="楷体_GB2312" w:hAnsi="宋体" w:eastAsia="楷体_GB2312"/>
          <w:color w:val="auto"/>
          <w:sz w:val="24"/>
          <w:lang w:val="en-US" w:eastAsia="zh-CN"/>
        </w:rPr>
        <w:t>代销机构门户网站：http://www.sxccb.com/</w:t>
      </w:r>
    </w:p>
    <w:p w14:paraId="6C9A2FE9">
      <w:pPr>
        <w:numPr>
          <w:ilvl w:val="0"/>
          <w:numId w:val="3"/>
        </w:numPr>
        <w:ind w:firstLine="470" w:firstLineChars="196"/>
        <w:outlineLvl w:val="0"/>
        <w:rPr>
          <w:rFonts w:ascii="楷体_GB2312" w:eastAsia="楷体_GB2312"/>
          <w:color w:val="000000"/>
          <w:sz w:val="24"/>
          <w:highlight w:val="none"/>
        </w:rPr>
      </w:pPr>
      <w:r>
        <w:rPr>
          <w:rFonts w:hint="eastAsia" w:ascii="楷体_GB2312" w:eastAsia="楷体_GB2312"/>
          <w:color w:val="000000"/>
          <w:sz w:val="24"/>
          <w:highlight w:val="none"/>
          <w:lang w:eastAsia="zh-CN"/>
        </w:rPr>
        <w:t>产品管理人</w:t>
      </w:r>
      <w:r>
        <w:rPr>
          <w:rFonts w:hint="eastAsia" w:ascii="楷体_GB2312" w:eastAsia="楷体_GB2312"/>
          <w:color w:val="000000"/>
          <w:sz w:val="24"/>
          <w:highlight w:val="none"/>
          <w:lang w:val="en-US" w:eastAsia="zh-CN"/>
        </w:rPr>
        <w:t>的</w:t>
      </w:r>
      <w:r>
        <w:rPr>
          <w:rFonts w:hint="eastAsia" w:ascii="楷体_GB2312" w:eastAsia="楷体_GB2312"/>
          <w:color w:val="000000"/>
          <w:sz w:val="24"/>
          <w:highlight w:val="none"/>
          <w:lang w:eastAsia="zh-CN"/>
        </w:rPr>
        <w:t>联络</w:t>
      </w:r>
      <w:r>
        <w:rPr>
          <w:rFonts w:ascii="楷体_GB2312" w:eastAsia="楷体_GB2312"/>
          <w:color w:val="000000"/>
          <w:sz w:val="24"/>
          <w:highlight w:val="none"/>
        </w:rPr>
        <w:t>方式</w:t>
      </w:r>
    </w:p>
    <w:p w14:paraId="01481FAB">
      <w:pPr>
        <w:numPr>
          <w:ilvl w:val="0"/>
          <w:numId w:val="0"/>
        </w:numPr>
        <w:ind w:firstLine="480" w:firstLineChars="200"/>
        <w:outlineLvl w:val="0"/>
        <w:rPr>
          <w:rFonts w:ascii="楷体_GB2312" w:eastAsia="楷体_GB2312"/>
          <w:color w:val="000000"/>
          <w:sz w:val="24"/>
          <w:highlight w:val="none"/>
        </w:rPr>
      </w:pPr>
      <w:r>
        <w:rPr>
          <w:rFonts w:hint="eastAsia" w:ascii="楷体_GB2312" w:eastAsia="楷体_GB2312"/>
          <w:color w:val="000000"/>
          <w:sz w:val="24"/>
          <w:highlight w:val="none"/>
          <w:lang w:val="en-US" w:eastAsia="zh-CN"/>
        </w:rPr>
        <w:t>北银理财通讯地址：</w:t>
      </w:r>
      <w:r>
        <w:rPr>
          <w:rFonts w:ascii="楷体_GB2312" w:eastAsia="楷体_GB2312"/>
          <w:color w:val="000000"/>
          <w:sz w:val="24"/>
          <w:highlight w:val="none"/>
        </w:rPr>
        <w:t>北京市西城区金融大街甲</w:t>
      </w:r>
      <w:r>
        <w:rPr>
          <w:rFonts w:hint="eastAsia" w:ascii="楷体_GB2312" w:eastAsia="楷体_GB2312"/>
          <w:color w:val="000000"/>
          <w:sz w:val="24"/>
          <w:highlight w:val="none"/>
        </w:rPr>
        <w:t>9号金融街中心大厦A座1</w:t>
      </w:r>
      <w:r>
        <w:rPr>
          <w:rFonts w:hint="eastAsia" w:ascii="楷体_GB2312" w:eastAsia="楷体_GB2312"/>
          <w:color w:val="000000"/>
          <w:sz w:val="24"/>
          <w:highlight w:val="none"/>
          <w:lang w:val="en-US" w:eastAsia="zh-CN"/>
        </w:rPr>
        <w:t>1</w:t>
      </w:r>
      <w:r>
        <w:rPr>
          <w:rFonts w:ascii="楷体_GB2312" w:eastAsia="楷体_GB2312"/>
          <w:color w:val="000000"/>
          <w:sz w:val="24"/>
          <w:highlight w:val="none"/>
        </w:rPr>
        <w:t>层，</w:t>
      </w:r>
      <w:r>
        <w:rPr>
          <w:rFonts w:hint="eastAsia" w:ascii="楷体_GB2312" w:eastAsia="楷体_GB2312"/>
          <w:color w:val="000000"/>
          <w:sz w:val="24"/>
          <w:highlight w:val="none"/>
        </w:rPr>
        <w:t>邮编：1</w:t>
      </w:r>
      <w:r>
        <w:rPr>
          <w:rFonts w:ascii="楷体_GB2312" w:eastAsia="楷体_GB2312"/>
          <w:color w:val="000000"/>
          <w:sz w:val="24"/>
          <w:highlight w:val="none"/>
        </w:rPr>
        <w:t>00035</w:t>
      </w:r>
    </w:p>
    <w:p w14:paraId="55E21AFE">
      <w:pPr>
        <w:outlineLvl w:val="0"/>
        <w:rPr>
          <w:rFonts w:ascii="楷体_GB2312" w:eastAsia="楷体_GB2312"/>
          <w:color w:val="000000"/>
          <w:sz w:val="24"/>
          <w:highlight w:val="none"/>
        </w:rPr>
      </w:pPr>
      <w:r>
        <w:rPr>
          <w:highlight w:val="none"/>
        </w:rPr>
        <w:fldChar w:fldCharType="begin"/>
      </w:r>
      <w:r>
        <w:rPr>
          <w:highlight w:val="none"/>
        </w:rPr>
        <w:instrText xml:space="preserve"> HYPERLINK "http://www.bankofbeijing.com.cn" </w:instrText>
      </w:r>
      <w:r>
        <w:rPr>
          <w:highlight w:val="none"/>
        </w:rPr>
        <w:fldChar w:fldCharType="end"/>
      </w:r>
    </w:p>
    <w:p w14:paraId="6D883D8A">
      <w:pPr>
        <w:outlineLvl w:val="0"/>
        <w:rPr>
          <w:rFonts w:ascii="楷体_GB2312" w:eastAsia="楷体_GB2312"/>
          <w:color w:val="000000"/>
          <w:sz w:val="24"/>
          <w:highlight w:val="none"/>
        </w:rPr>
      </w:pPr>
      <w:r>
        <w:rPr>
          <w:rFonts w:hint="eastAsia" w:ascii="楷体_GB2312" w:eastAsia="楷体_GB2312"/>
          <w:color w:val="000000"/>
          <w:sz w:val="24"/>
          <w:highlight w:val="none"/>
        </w:rPr>
        <w:t>---------------------------------------------------------------------</w:t>
      </w:r>
    </w:p>
    <w:p w14:paraId="2E1A3ACA">
      <w:pPr>
        <w:ind w:firstLine="470" w:firstLineChars="196"/>
        <w:outlineLvl w:val="0"/>
        <w:rPr>
          <w:rFonts w:ascii="楷体_GB2312" w:eastAsia="楷体_GB2312"/>
          <w:b/>
          <w:bCs/>
          <w:color w:val="000000"/>
          <w:sz w:val="24"/>
          <w:highlight w:val="none"/>
        </w:rPr>
      </w:pPr>
      <w:r>
        <w:rPr>
          <w:rFonts w:ascii="楷体_GB2312" w:eastAsia="楷体_GB2312"/>
          <w:color w:val="000000"/>
          <w:sz w:val="24"/>
          <w:highlight w:val="none"/>
        </w:rPr>
        <w:t>声明：</w:t>
      </w:r>
      <w:r>
        <w:rPr>
          <w:rFonts w:hint="eastAsia" w:ascii="楷体_GB2312" w:eastAsia="楷体_GB2312"/>
          <w:color w:val="000000"/>
          <w:sz w:val="24"/>
          <w:highlight w:val="none"/>
          <w:lang w:eastAsia="zh-CN"/>
        </w:rPr>
        <w:t>本人/本公司</w:t>
      </w:r>
      <w:r>
        <w:rPr>
          <w:rFonts w:ascii="楷体_GB2312" w:eastAsia="楷体_GB2312"/>
          <w:color w:val="000000"/>
          <w:sz w:val="24"/>
          <w:highlight w:val="none"/>
        </w:rPr>
        <w:t>知悉</w:t>
      </w:r>
      <w:r>
        <w:rPr>
          <w:rFonts w:hint="eastAsia" w:ascii="楷体_GB2312" w:hAnsi="Times New Roman" w:eastAsia="楷体_GB2312" w:cs="Times New Roman"/>
          <w:color w:val="000000"/>
          <w:sz w:val="24"/>
          <w:highlight w:val="none"/>
          <w:lang w:eastAsia="zh-CN"/>
        </w:rPr>
        <w:t>北银理财京华远见春系列卓远固收封闭式290号</w:t>
      </w:r>
      <w:r>
        <w:rPr>
          <w:rFonts w:ascii="楷体_GB2312" w:hAnsi="Times New Roman" w:eastAsia="楷体_GB2312" w:cs="Times New Roman"/>
          <w:color w:val="000000"/>
          <w:sz w:val="24"/>
          <w:highlight w:val="none"/>
        </w:rPr>
        <w:t>理财</w:t>
      </w:r>
      <w:r>
        <w:rPr>
          <w:rFonts w:hint="eastAsia" w:ascii="楷体_GB2312" w:hAnsi="Times New Roman" w:eastAsia="楷体_GB2312" w:cs="Times New Roman"/>
          <w:color w:val="000000"/>
          <w:sz w:val="24"/>
          <w:highlight w:val="none"/>
        </w:rPr>
        <w:t>产品</w:t>
      </w:r>
      <w:r>
        <w:rPr>
          <w:rFonts w:hint="eastAsia" w:ascii="楷体_GB2312" w:eastAsia="楷体_GB2312"/>
          <w:color w:val="000000"/>
          <w:sz w:val="24"/>
          <w:highlight w:val="none"/>
          <w:lang w:val="en-US" w:eastAsia="zh-CN"/>
        </w:rPr>
        <w:t>销售文件</w:t>
      </w:r>
      <w:r>
        <w:rPr>
          <w:rFonts w:ascii="楷体_GB2312" w:eastAsia="楷体_GB2312"/>
          <w:color w:val="000000"/>
          <w:sz w:val="24"/>
          <w:highlight w:val="none"/>
        </w:rPr>
        <w:t>由本</w:t>
      </w:r>
      <w:r>
        <w:rPr>
          <w:rFonts w:hint="eastAsia" w:ascii="楷体_GB2312" w:eastAsia="楷体_GB2312"/>
          <w:color w:val="000000"/>
          <w:sz w:val="24"/>
          <w:highlight w:val="none"/>
          <w:lang w:val="en-US" w:eastAsia="zh-CN"/>
        </w:rPr>
        <w:t>理财</w:t>
      </w:r>
      <w:r>
        <w:rPr>
          <w:rFonts w:ascii="楷体_GB2312" w:eastAsia="楷体_GB2312"/>
          <w:color w:val="000000"/>
          <w:sz w:val="24"/>
          <w:highlight w:val="none"/>
        </w:rPr>
        <w:t>产品对应的</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风险揭示书</w:t>
      </w:r>
      <w:r>
        <w:rPr>
          <w:rFonts w:hint="eastAsia" w:ascii="楷体_GB2312" w:hAnsi="楷体" w:eastAsia="楷体_GB2312"/>
          <w:sz w:val="24"/>
          <w:highlight w:val="none"/>
          <w:lang w:eastAsia="zh-CN"/>
        </w:rPr>
        <w:t>》</w:t>
      </w:r>
      <w:r>
        <w:rPr>
          <w:rFonts w:hint="eastAsia" w:ascii="楷体_GB2312" w:hAnsi="楷体" w:eastAsia="楷体_GB2312"/>
          <w:sz w:val="24"/>
          <w:highlight w:val="none"/>
        </w:rPr>
        <w:t>、</w:t>
      </w:r>
      <w:r>
        <w:rPr>
          <w:rFonts w:hint="eastAsia" w:ascii="楷体_GB2312" w:hAnsi="楷体" w:eastAsia="楷体_GB2312"/>
          <w:sz w:val="24"/>
          <w:highlight w:val="none"/>
          <w:lang w:eastAsia="zh-CN"/>
        </w:rPr>
        <w:t>《理财产品投资协议书》、《理财产品说明书》、</w:t>
      </w:r>
      <w:r>
        <w:rPr>
          <w:rFonts w:ascii="楷体_GB2312" w:eastAsia="楷体_GB2312"/>
          <w:color w:val="000000"/>
          <w:sz w:val="24"/>
          <w:highlight w:val="none"/>
        </w:rPr>
        <w:t>《投资者权益须知》</w:t>
      </w:r>
      <w:r>
        <w:rPr>
          <w:rFonts w:hint="eastAsia" w:ascii="楷体_GB2312" w:hAnsi="楷体" w:eastAsia="楷体_GB2312"/>
          <w:sz w:val="24"/>
          <w:highlight w:val="none"/>
          <w:lang w:val="en-US" w:eastAsia="zh-CN"/>
        </w:rPr>
        <w:t>和</w:t>
      </w:r>
      <w:r>
        <w:rPr>
          <w:rFonts w:hint="eastAsia" w:ascii="楷体_GB2312" w:hAnsi="楷体" w:eastAsia="楷体_GB2312"/>
          <w:b w:val="0"/>
          <w:bCs w:val="0"/>
          <w:sz w:val="24"/>
          <w:szCs w:val="24"/>
          <w:highlight w:val="none"/>
          <w:lang w:val="en-US" w:eastAsia="zh-CN"/>
        </w:rPr>
        <w:t>《代理销售</w:t>
      </w:r>
      <w:r>
        <w:rPr>
          <w:rFonts w:hint="eastAsia" w:ascii="楷体_GB2312" w:hAnsi="楷体" w:eastAsia="楷体_GB2312"/>
          <w:b w:val="0"/>
          <w:bCs w:val="0"/>
          <w:sz w:val="24"/>
          <w:highlight w:val="none"/>
        </w:rPr>
        <w:t>协议书</w:t>
      </w:r>
      <w:r>
        <w:rPr>
          <w:rFonts w:hint="eastAsia" w:ascii="楷体_GB2312" w:hAnsi="楷体" w:eastAsia="楷体_GB2312"/>
          <w:b w:val="0"/>
          <w:bCs w:val="0"/>
          <w:sz w:val="24"/>
          <w:highlight w:val="none"/>
          <w:lang w:eastAsia="zh-CN"/>
        </w:rPr>
        <w:t>》</w:t>
      </w:r>
      <w:r>
        <w:rPr>
          <w:rFonts w:hint="eastAsia" w:ascii="楷体_GB2312" w:hAnsi="楷体" w:eastAsia="楷体_GB2312"/>
          <w:b w:val="0"/>
          <w:bCs/>
          <w:sz w:val="24"/>
          <w:highlight w:val="none"/>
          <w:lang w:eastAsia="zh-CN"/>
        </w:rPr>
        <w:t>（</w:t>
      </w:r>
      <w:r>
        <w:rPr>
          <w:rFonts w:hint="eastAsia" w:ascii="楷体_GB2312" w:hAnsi="楷体" w:eastAsia="楷体_GB2312"/>
          <w:b w:val="0"/>
          <w:bCs/>
          <w:sz w:val="24"/>
          <w:highlight w:val="none"/>
          <w:lang w:val="en-US" w:eastAsia="zh-CN"/>
        </w:rPr>
        <w:t>具体名称以代销机构为准</w:t>
      </w:r>
      <w:r>
        <w:rPr>
          <w:rFonts w:hint="eastAsia" w:ascii="楷体_GB2312" w:hAnsi="楷体" w:eastAsia="楷体_GB2312"/>
          <w:b w:val="0"/>
          <w:bCs/>
          <w:sz w:val="24"/>
          <w:highlight w:val="none"/>
          <w:lang w:eastAsia="zh-CN"/>
        </w:rPr>
        <w:t>）</w:t>
      </w:r>
      <w:r>
        <w:rPr>
          <w:rFonts w:ascii="楷体_GB2312" w:eastAsia="楷体_GB2312"/>
          <w:color w:val="000000"/>
          <w:sz w:val="24"/>
          <w:highlight w:val="none"/>
        </w:rPr>
        <w:t>共同组成，</w:t>
      </w:r>
      <w:r>
        <w:rPr>
          <w:rFonts w:hint="eastAsia" w:ascii="楷体_GB2312" w:eastAsia="楷体_GB2312"/>
          <w:b/>
          <w:bCs/>
          <w:color w:val="000000"/>
          <w:sz w:val="24"/>
          <w:highlight w:val="none"/>
          <w:lang w:eastAsia="zh-CN"/>
        </w:rPr>
        <w:t>本人/本公司</w:t>
      </w:r>
      <w:r>
        <w:rPr>
          <w:rFonts w:ascii="楷体_GB2312" w:eastAsia="楷体_GB2312"/>
          <w:b/>
          <w:bCs/>
          <w:color w:val="000000"/>
          <w:sz w:val="24"/>
          <w:highlight w:val="none"/>
        </w:rPr>
        <w:t>确认已经收到本</w:t>
      </w:r>
      <w:r>
        <w:rPr>
          <w:rFonts w:hint="eastAsia" w:ascii="楷体_GB2312" w:eastAsia="楷体_GB2312"/>
          <w:b/>
          <w:bCs/>
          <w:color w:val="000000"/>
          <w:sz w:val="24"/>
          <w:highlight w:val="none"/>
        </w:rPr>
        <w:t>理财产品销售文件</w:t>
      </w:r>
      <w:r>
        <w:rPr>
          <w:rFonts w:ascii="楷体_GB2312" w:eastAsia="楷体_GB2312"/>
          <w:b/>
          <w:bCs/>
          <w:color w:val="000000"/>
          <w:sz w:val="24"/>
          <w:highlight w:val="none"/>
        </w:rPr>
        <w:t>，且已经认真阅读、理解并接受该</w:t>
      </w:r>
      <w:r>
        <w:rPr>
          <w:rFonts w:hint="eastAsia" w:ascii="楷体_GB2312" w:eastAsia="楷体_GB2312"/>
          <w:b/>
          <w:bCs/>
          <w:color w:val="000000"/>
          <w:sz w:val="24"/>
          <w:highlight w:val="none"/>
        </w:rPr>
        <w:t>理财产品销售文件</w:t>
      </w:r>
      <w:r>
        <w:rPr>
          <w:rFonts w:ascii="楷体_GB2312" w:eastAsia="楷体_GB2312"/>
          <w:b/>
          <w:bCs/>
          <w:color w:val="000000"/>
          <w:sz w:val="24"/>
          <w:highlight w:val="none"/>
        </w:rPr>
        <w:t>的所有条款及相关法律规定，确认已经获得满意的信息披露，理解</w:t>
      </w:r>
      <w:r>
        <w:rPr>
          <w:rFonts w:hint="eastAsia" w:ascii="楷体_GB2312" w:eastAsia="楷体_GB2312"/>
          <w:b/>
          <w:bCs/>
          <w:color w:val="000000"/>
          <w:sz w:val="24"/>
          <w:highlight w:val="none"/>
          <w:lang w:val="en-US" w:eastAsia="zh-CN"/>
        </w:rPr>
        <w:t>本理财产品</w:t>
      </w:r>
      <w:r>
        <w:rPr>
          <w:rFonts w:ascii="楷体_GB2312" w:eastAsia="楷体_GB2312"/>
          <w:b/>
          <w:bCs/>
          <w:color w:val="000000"/>
          <w:sz w:val="24"/>
          <w:highlight w:val="none"/>
        </w:rPr>
        <w:t>的性质、风险及可能的损失，并愿意承担且有能力承担该等风险。</w:t>
      </w:r>
    </w:p>
    <w:p w14:paraId="017A8082">
      <w:pPr>
        <w:pStyle w:val="2"/>
        <w:rPr>
          <w:rFonts w:ascii="楷体_GB2312" w:eastAsia="楷体_GB2312"/>
          <w:color w:val="000000"/>
          <w:sz w:val="24"/>
          <w:highlight w:val="none"/>
        </w:rPr>
      </w:pPr>
    </w:p>
    <w:p w14:paraId="7CBB5549">
      <w:pPr>
        <w:pStyle w:val="5"/>
        <w:rPr>
          <w:rFonts w:ascii="楷体_GB2312" w:eastAsia="楷体_GB2312"/>
          <w:color w:val="000000"/>
          <w:sz w:val="24"/>
          <w:highlight w:val="none"/>
        </w:rPr>
      </w:pPr>
    </w:p>
    <w:p w14:paraId="12E38B79">
      <w:pPr>
        <w:pStyle w:val="5"/>
        <w:rPr>
          <w:rFonts w:ascii="楷体_GB2312" w:eastAsia="楷体_GB2312"/>
          <w:color w:val="000000"/>
          <w:sz w:val="24"/>
          <w:highlight w:val="none"/>
        </w:rPr>
      </w:pPr>
    </w:p>
    <w:p w14:paraId="73F323D2">
      <w:pPr>
        <w:ind w:right="840" w:firstLine="4668" w:firstLineChars="1945"/>
        <w:outlineLvl w:val="0"/>
        <w:rPr>
          <w:rFonts w:ascii="楷体_GB2312" w:eastAsia="楷体_GB2312"/>
          <w:color w:val="000000"/>
          <w:sz w:val="24"/>
          <w:highlight w:val="none"/>
        </w:rPr>
      </w:pPr>
      <w:r>
        <w:rPr>
          <w:rFonts w:ascii="楷体_GB2312" w:eastAsia="楷体_GB2312"/>
          <w:color w:val="000000"/>
          <w:sz w:val="24"/>
          <w:highlight w:val="none"/>
        </w:rPr>
        <w:t>个人投资者签名：</w:t>
      </w:r>
    </w:p>
    <w:p w14:paraId="19D52A34">
      <w:pPr>
        <w:ind w:right="480" w:firstLine="5870" w:firstLineChars="2446"/>
        <w:outlineLvl w:val="0"/>
        <w:rPr>
          <w:rFonts w:ascii="楷体_GB2312" w:eastAsia="楷体_GB2312"/>
          <w:color w:val="000000"/>
          <w:sz w:val="24"/>
          <w:highlight w:val="none"/>
        </w:rPr>
      </w:pPr>
      <w:r>
        <w:rPr>
          <w:rFonts w:ascii="楷体_GB2312" w:eastAsia="楷体_GB2312"/>
          <w:color w:val="000000"/>
          <w:sz w:val="24"/>
          <w:highlight w:val="none"/>
        </w:rPr>
        <w:t>日期：</w:t>
      </w:r>
    </w:p>
    <w:p w14:paraId="2C2E622B">
      <w:pPr>
        <w:pStyle w:val="2"/>
        <w:rPr>
          <w:rFonts w:ascii="楷体_GB2312" w:eastAsia="楷体_GB2312"/>
          <w:color w:val="000000"/>
          <w:sz w:val="24"/>
          <w:highlight w:val="none"/>
        </w:rPr>
      </w:pPr>
    </w:p>
    <w:p w14:paraId="6AFF05B9">
      <w:pPr>
        <w:pStyle w:val="5"/>
        <w:rPr>
          <w:rFonts w:ascii="楷体_GB2312" w:eastAsia="楷体_GB2312"/>
          <w:color w:val="000000"/>
          <w:sz w:val="24"/>
          <w:highlight w:val="none"/>
        </w:rPr>
      </w:pPr>
    </w:p>
    <w:p w14:paraId="2F17933E">
      <w:pPr>
        <w:pStyle w:val="5"/>
        <w:rPr>
          <w:rFonts w:ascii="楷体_GB2312" w:eastAsia="楷体_GB2312"/>
          <w:color w:val="000000"/>
          <w:sz w:val="24"/>
          <w:highlight w:val="none"/>
        </w:rPr>
      </w:pPr>
    </w:p>
    <w:p w14:paraId="32723CB8">
      <w:pPr>
        <w:ind w:right="480" w:firstLine="5870" w:firstLineChars="2446"/>
        <w:outlineLvl w:val="0"/>
        <w:rPr>
          <w:rFonts w:ascii="楷体_GB2312" w:eastAsia="楷体_GB2312"/>
          <w:color w:val="000000"/>
          <w:sz w:val="24"/>
          <w:highlight w:val="none"/>
        </w:rPr>
      </w:pPr>
    </w:p>
    <w:p w14:paraId="48D8071C">
      <w:pPr>
        <w:pStyle w:val="45"/>
        <w:ind w:right="1680"/>
        <w:jc w:val="right"/>
        <w:rPr>
          <w:rFonts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lang w:val="en-US" w:eastAsia="zh-CN"/>
        </w:rPr>
        <w:t xml:space="preserve">  </w:t>
      </w:r>
      <w:r>
        <w:rPr>
          <w:rFonts w:hint="eastAsia" w:ascii="楷体_GB2312" w:hAnsi="楷体" w:eastAsia="楷体_GB2312" w:cs="Times New Roman"/>
          <w:color w:val="auto"/>
          <w:kern w:val="2"/>
          <w:highlight w:val="none"/>
        </w:rPr>
        <w:t>机构投资者（盖章）：</w:t>
      </w:r>
    </w:p>
    <w:p w14:paraId="1CFDA526">
      <w:pPr>
        <w:pStyle w:val="45"/>
        <w:ind w:right="480"/>
        <w:jc w:val="both"/>
        <w:rPr>
          <w:rFonts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机构投资者法定代表人</w:t>
      </w:r>
      <w:r>
        <w:rPr>
          <w:rFonts w:hint="eastAsia" w:ascii="楷体_GB2312" w:hAnsi="楷体" w:eastAsia="楷体_GB2312" w:cs="Times New Roman"/>
          <w:color w:val="auto"/>
          <w:kern w:val="2"/>
          <w:szCs w:val="24"/>
          <w:highlight w:val="none"/>
        </w:rPr>
        <w:t>（或负责人）</w:t>
      </w:r>
      <w:r>
        <w:rPr>
          <w:rFonts w:hint="eastAsia" w:ascii="楷体_GB2312" w:hAnsi="楷体" w:eastAsia="楷体_GB2312" w:cs="Times New Roman"/>
          <w:color w:val="auto"/>
          <w:kern w:val="2"/>
          <w:highlight w:val="none"/>
        </w:rPr>
        <w:t>或授权代表（签名或盖章）：</w:t>
      </w:r>
    </w:p>
    <w:p w14:paraId="5BD31BA4">
      <w:pPr>
        <w:pStyle w:val="45"/>
        <w:ind w:right="480" w:firstLine="5880" w:firstLineChars="2450"/>
        <w:rPr>
          <w:rFonts w:ascii="楷体_GB2312" w:hAnsi="楷体" w:eastAsia="楷体_GB2312" w:cs="Times New Roman"/>
          <w:color w:val="auto"/>
          <w:kern w:val="2"/>
          <w:highlight w:val="none"/>
        </w:rPr>
      </w:pPr>
      <w:r>
        <w:rPr>
          <w:rFonts w:hint="eastAsia" w:ascii="楷体_GB2312" w:hAnsi="楷体" w:eastAsia="楷体_GB2312" w:cs="Times New Roman"/>
          <w:color w:val="auto"/>
          <w:kern w:val="2"/>
          <w:highlight w:val="none"/>
        </w:rPr>
        <w:t>日期：</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0BF80">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p w14:paraId="25118CAB">
    <w:pPr>
      <w:pStyle w:val="12"/>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8BA6">
    <w:pPr>
      <w:pStyle w:val="12"/>
      <w:framePr w:wrap="around" w:vAnchor="text" w:hAnchor="margin" w:xAlign="center" w:y="1"/>
      <w:rPr>
        <w:rStyle w:val="20"/>
      </w:rPr>
    </w:pPr>
    <w:r>
      <w:fldChar w:fldCharType="begin"/>
    </w:r>
    <w:r>
      <w:rPr>
        <w:rStyle w:val="20"/>
      </w:rPr>
      <w:instrText xml:space="preserve">PAGE  </w:instrText>
    </w:r>
    <w:r>
      <w:fldChar w:fldCharType="end"/>
    </w:r>
  </w:p>
  <w:p w14:paraId="6E258F2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215D">
    <w:pPr>
      <w:rPr>
        <w:b/>
        <w:u w:val="single"/>
      </w:rPr>
    </w:pPr>
    <w:r>
      <w:rPr>
        <w:rFonts w:hint="eastAsia" w:ascii="黑体" w:hAnsi="黑体" w:eastAsia="黑体"/>
        <w:b/>
      </w:rPr>
      <w:t>北银理财·京华远见春系列</w:t>
    </w:r>
    <w:r>
      <w:rPr>
        <w:rFonts w:hint="eastAsia" w:ascii="黑体" w:hAnsi="黑体" w:eastAsia="黑体"/>
        <w:b/>
        <w:lang w:val="en-US" w:eastAsia="zh-CN"/>
      </w:rPr>
      <w:t xml:space="preserve">卓远固收封闭式  </w:t>
    </w:r>
    <w:r>
      <w:rPr>
        <w:rFonts w:hint="eastAsia" w:ascii="黑体" w:hAnsi="黑体" w:eastAsia="黑体"/>
        <w:b/>
        <w:highlight w:val="none"/>
      </w:rPr>
      <w:t xml:space="preserve"> </w:t>
    </w:r>
    <w:r>
      <w:rPr>
        <w:rFonts w:hint="eastAsia" w:ascii="黑体" w:hAnsi="黑体" w:eastAsia="黑体"/>
        <w:b/>
        <w:sz w:val="22"/>
        <w:szCs w:val="28"/>
      </w:rPr>
      <w:t>理财非存款</w:t>
    </w:r>
    <w:r>
      <w:rPr>
        <w:rFonts w:hint="eastAsia" w:ascii="黑体" w:hAnsi="黑体" w:eastAsia="黑体"/>
        <w:b/>
        <w:sz w:val="22"/>
        <w:szCs w:val="28"/>
        <w:lang w:eastAsia="zh-CN"/>
      </w:rPr>
      <w:t>、</w:t>
    </w:r>
    <w:r>
      <w:rPr>
        <w:rFonts w:hint="eastAsia" w:ascii="黑体" w:hAnsi="黑体" w:eastAsia="黑体"/>
        <w:b/>
        <w:sz w:val="22"/>
        <w:szCs w:val="28"/>
      </w:rPr>
      <w:t>产品有风险</w:t>
    </w:r>
    <w:r>
      <w:rPr>
        <w:rFonts w:hint="eastAsia" w:ascii="黑体" w:hAnsi="黑体" w:eastAsia="黑体"/>
        <w:b/>
        <w:sz w:val="22"/>
        <w:szCs w:val="28"/>
        <w:lang w:eastAsia="zh-CN"/>
      </w:rPr>
      <w:t>、</w:t>
    </w:r>
    <w:r>
      <w:rPr>
        <w:rFonts w:hint="eastAsia" w:ascii="黑体" w:hAnsi="黑体" w:eastAsia="黑体"/>
        <w:b/>
        <w:sz w:val="22"/>
        <w:szCs w:val="28"/>
      </w:rPr>
      <w:t>投资须谨慎</w:t>
    </w:r>
    <w:r>
      <w:rPr>
        <w:rFonts w:hint="eastAsia" w:ascii="黑体" w:hAnsi="黑体" w:eastAsia="黑体"/>
        <w:b/>
        <w:sz w:val="22"/>
        <w:szCs w:val="28"/>
        <w:lang w:eastAsia="zh-CN"/>
      </w:rPr>
      <w:t>！</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308E5"/>
    <w:multiLevelType w:val="singleLevel"/>
    <w:tmpl w:val="1D7308E5"/>
    <w:lvl w:ilvl="0" w:tentative="0">
      <w:start w:val="6"/>
      <w:numFmt w:val="chineseCounting"/>
      <w:suff w:val="nothing"/>
      <w:lvlText w:val="（%1）"/>
      <w:lvlJc w:val="left"/>
      <w:pPr>
        <w:ind w:left="-60"/>
      </w:pPr>
      <w:rPr>
        <w:rFonts w:hint="eastAsia"/>
      </w:rPr>
    </w:lvl>
  </w:abstractNum>
  <w:abstractNum w:abstractNumId="1">
    <w:nsid w:val="376C491D"/>
    <w:multiLevelType w:val="singleLevel"/>
    <w:tmpl w:val="376C491D"/>
    <w:lvl w:ilvl="0" w:tentative="0">
      <w:start w:val="2"/>
      <w:numFmt w:val="chineseCounting"/>
      <w:suff w:val="nothing"/>
      <w:lvlText w:val="（%1）"/>
      <w:lvlJc w:val="left"/>
      <w:rPr>
        <w:rFonts w:hint="eastAsia"/>
      </w:rPr>
    </w:lvl>
  </w:abstractNum>
  <w:abstractNum w:abstractNumId="2">
    <w:nsid w:val="64F6A695"/>
    <w:multiLevelType w:val="singleLevel"/>
    <w:tmpl w:val="64F6A695"/>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ZmE2YTQ5MzUyMTdmNzc3MjYyMjQ4YTNmNWFlZWYifQ=="/>
  </w:docVars>
  <w:rsids>
    <w:rsidRoot w:val="00172A27"/>
    <w:rsid w:val="00004DD7"/>
    <w:rsid w:val="00010A65"/>
    <w:rsid w:val="00014B1D"/>
    <w:rsid w:val="00023027"/>
    <w:rsid w:val="00023E25"/>
    <w:rsid w:val="00031959"/>
    <w:rsid w:val="0003570D"/>
    <w:rsid w:val="00042AB1"/>
    <w:rsid w:val="00060EA4"/>
    <w:rsid w:val="00063758"/>
    <w:rsid w:val="000675AD"/>
    <w:rsid w:val="000927EA"/>
    <w:rsid w:val="000A6512"/>
    <w:rsid w:val="000B4AAB"/>
    <w:rsid w:val="000B4F4A"/>
    <w:rsid w:val="000E1184"/>
    <w:rsid w:val="000F1B5E"/>
    <w:rsid w:val="000F2610"/>
    <w:rsid w:val="000F7EC3"/>
    <w:rsid w:val="00100C28"/>
    <w:rsid w:val="0010341C"/>
    <w:rsid w:val="00115A88"/>
    <w:rsid w:val="001247CB"/>
    <w:rsid w:val="00127573"/>
    <w:rsid w:val="00133A37"/>
    <w:rsid w:val="0013433A"/>
    <w:rsid w:val="00135BA4"/>
    <w:rsid w:val="00140605"/>
    <w:rsid w:val="0014653B"/>
    <w:rsid w:val="0016438C"/>
    <w:rsid w:val="00174C30"/>
    <w:rsid w:val="00196588"/>
    <w:rsid w:val="001A1AF2"/>
    <w:rsid w:val="001A4AA4"/>
    <w:rsid w:val="001D213E"/>
    <w:rsid w:val="001D2398"/>
    <w:rsid w:val="001D298D"/>
    <w:rsid w:val="001D6E08"/>
    <w:rsid w:val="001E4E0A"/>
    <w:rsid w:val="002023D9"/>
    <w:rsid w:val="002108E2"/>
    <w:rsid w:val="0021550A"/>
    <w:rsid w:val="00216360"/>
    <w:rsid w:val="00225E70"/>
    <w:rsid w:val="0023619B"/>
    <w:rsid w:val="00240AB8"/>
    <w:rsid w:val="00251C33"/>
    <w:rsid w:val="00252435"/>
    <w:rsid w:val="002602FB"/>
    <w:rsid w:val="00265479"/>
    <w:rsid w:val="002850D3"/>
    <w:rsid w:val="002934ED"/>
    <w:rsid w:val="002B4144"/>
    <w:rsid w:val="002B4FF6"/>
    <w:rsid w:val="002C2BE2"/>
    <w:rsid w:val="002C6A5C"/>
    <w:rsid w:val="002F2246"/>
    <w:rsid w:val="002F3E26"/>
    <w:rsid w:val="002F6BC2"/>
    <w:rsid w:val="002F79C6"/>
    <w:rsid w:val="00300B76"/>
    <w:rsid w:val="00306DF0"/>
    <w:rsid w:val="00310786"/>
    <w:rsid w:val="00311054"/>
    <w:rsid w:val="00312DEE"/>
    <w:rsid w:val="00312FBA"/>
    <w:rsid w:val="0031305A"/>
    <w:rsid w:val="00314971"/>
    <w:rsid w:val="0031574B"/>
    <w:rsid w:val="003168D5"/>
    <w:rsid w:val="00346B0F"/>
    <w:rsid w:val="00352F98"/>
    <w:rsid w:val="00354BD8"/>
    <w:rsid w:val="00365415"/>
    <w:rsid w:val="00366FD9"/>
    <w:rsid w:val="00367620"/>
    <w:rsid w:val="00370C09"/>
    <w:rsid w:val="00383602"/>
    <w:rsid w:val="00383738"/>
    <w:rsid w:val="0038646E"/>
    <w:rsid w:val="00395973"/>
    <w:rsid w:val="00395CDA"/>
    <w:rsid w:val="003A575B"/>
    <w:rsid w:val="003D08CE"/>
    <w:rsid w:val="003D5C4E"/>
    <w:rsid w:val="003E35AE"/>
    <w:rsid w:val="003F51CA"/>
    <w:rsid w:val="0040047D"/>
    <w:rsid w:val="00402C91"/>
    <w:rsid w:val="00407BFC"/>
    <w:rsid w:val="00413047"/>
    <w:rsid w:val="00415332"/>
    <w:rsid w:val="00417689"/>
    <w:rsid w:val="0041771D"/>
    <w:rsid w:val="00417865"/>
    <w:rsid w:val="00436F86"/>
    <w:rsid w:val="0047342B"/>
    <w:rsid w:val="00481ABF"/>
    <w:rsid w:val="00491F21"/>
    <w:rsid w:val="00494661"/>
    <w:rsid w:val="004967C7"/>
    <w:rsid w:val="004A025B"/>
    <w:rsid w:val="004A19BD"/>
    <w:rsid w:val="004C02FD"/>
    <w:rsid w:val="004C0A8E"/>
    <w:rsid w:val="004D17AB"/>
    <w:rsid w:val="004E4340"/>
    <w:rsid w:val="004E541D"/>
    <w:rsid w:val="004F098A"/>
    <w:rsid w:val="004F1F50"/>
    <w:rsid w:val="005002F1"/>
    <w:rsid w:val="00502E6B"/>
    <w:rsid w:val="00506BA5"/>
    <w:rsid w:val="00524E34"/>
    <w:rsid w:val="0053340D"/>
    <w:rsid w:val="00537946"/>
    <w:rsid w:val="00541365"/>
    <w:rsid w:val="0055554B"/>
    <w:rsid w:val="0056230B"/>
    <w:rsid w:val="00562769"/>
    <w:rsid w:val="00571503"/>
    <w:rsid w:val="00576740"/>
    <w:rsid w:val="005837A2"/>
    <w:rsid w:val="00583A81"/>
    <w:rsid w:val="005928F5"/>
    <w:rsid w:val="005A2C68"/>
    <w:rsid w:val="005A2D82"/>
    <w:rsid w:val="005B1A78"/>
    <w:rsid w:val="005C460A"/>
    <w:rsid w:val="005E0942"/>
    <w:rsid w:val="005F1ACF"/>
    <w:rsid w:val="005F586A"/>
    <w:rsid w:val="006007CA"/>
    <w:rsid w:val="00602EA6"/>
    <w:rsid w:val="00613C69"/>
    <w:rsid w:val="00615A24"/>
    <w:rsid w:val="006214FF"/>
    <w:rsid w:val="00642C17"/>
    <w:rsid w:val="00643A8B"/>
    <w:rsid w:val="006524F5"/>
    <w:rsid w:val="00660403"/>
    <w:rsid w:val="00662142"/>
    <w:rsid w:val="00670E41"/>
    <w:rsid w:val="006772DB"/>
    <w:rsid w:val="00680A5C"/>
    <w:rsid w:val="00681882"/>
    <w:rsid w:val="006818F7"/>
    <w:rsid w:val="00681E3E"/>
    <w:rsid w:val="0068343D"/>
    <w:rsid w:val="006A29F2"/>
    <w:rsid w:val="006A6A7E"/>
    <w:rsid w:val="006A7C1C"/>
    <w:rsid w:val="006B5AA6"/>
    <w:rsid w:val="006B7B80"/>
    <w:rsid w:val="006C169A"/>
    <w:rsid w:val="006D105A"/>
    <w:rsid w:val="006D5AAE"/>
    <w:rsid w:val="006D6E4E"/>
    <w:rsid w:val="006D6EDA"/>
    <w:rsid w:val="006E4400"/>
    <w:rsid w:val="006F7466"/>
    <w:rsid w:val="007042CA"/>
    <w:rsid w:val="00714088"/>
    <w:rsid w:val="007156F1"/>
    <w:rsid w:val="007257A8"/>
    <w:rsid w:val="0072662A"/>
    <w:rsid w:val="00730D15"/>
    <w:rsid w:val="007326F9"/>
    <w:rsid w:val="00735207"/>
    <w:rsid w:val="007376D0"/>
    <w:rsid w:val="00737904"/>
    <w:rsid w:val="00741E90"/>
    <w:rsid w:val="00742805"/>
    <w:rsid w:val="0074340B"/>
    <w:rsid w:val="007466F0"/>
    <w:rsid w:val="00751EF9"/>
    <w:rsid w:val="00764E4A"/>
    <w:rsid w:val="00771F9A"/>
    <w:rsid w:val="007758DF"/>
    <w:rsid w:val="00785E98"/>
    <w:rsid w:val="0079317D"/>
    <w:rsid w:val="007A7E71"/>
    <w:rsid w:val="007B06B8"/>
    <w:rsid w:val="007B3F5B"/>
    <w:rsid w:val="007B4E40"/>
    <w:rsid w:val="007B66EE"/>
    <w:rsid w:val="007C0605"/>
    <w:rsid w:val="007D1008"/>
    <w:rsid w:val="007D5C91"/>
    <w:rsid w:val="007E35BB"/>
    <w:rsid w:val="007E7F92"/>
    <w:rsid w:val="007F1BE0"/>
    <w:rsid w:val="007F4838"/>
    <w:rsid w:val="00812809"/>
    <w:rsid w:val="00813BDB"/>
    <w:rsid w:val="00817013"/>
    <w:rsid w:val="008304FE"/>
    <w:rsid w:val="0083501E"/>
    <w:rsid w:val="008407B3"/>
    <w:rsid w:val="00841BE9"/>
    <w:rsid w:val="0085183C"/>
    <w:rsid w:val="00861E98"/>
    <w:rsid w:val="00886947"/>
    <w:rsid w:val="00886B4B"/>
    <w:rsid w:val="00890461"/>
    <w:rsid w:val="008A24E0"/>
    <w:rsid w:val="008A402A"/>
    <w:rsid w:val="008C345E"/>
    <w:rsid w:val="008D1D90"/>
    <w:rsid w:val="008D307C"/>
    <w:rsid w:val="008D4619"/>
    <w:rsid w:val="008F40B7"/>
    <w:rsid w:val="008F4FFE"/>
    <w:rsid w:val="008F7B68"/>
    <w:rsid w:val="00905C80"/>
    <w:rsid w:val="009210EF"/>
    <w:rsid w:val="0095089C"/>
    <w:rsid w:val="009561FD"/>
    <w:rsid w:val="009655CF"/>
    <w:rsid w:val="00971795"/>
    <w:rsid w:val="00976980"/>
    <w:rsid w:val="00980936"/>
    <w:rsid w:val="009828C2"/>
    <w:rsid w:val="009839E4"/>
    <w:rsid w:val="009842AA"/>
    <w:rsid w:val="0099263F"/>
    <w:rsid w:val="00992AA6"/>
    <w:rsid w:val="009A0DE1"/>
    <w:rsid w:val="009A1004"/>
    <w:rsid w:val="009B3C8A"/>
    <w:rsid w:val="009C0AAD"/>
    <w:rsid w:val="009C4385"/>
    <w:rsid w:val="009F3740"/>
    <w:rsid w:val="00A038AD"/>
    <w:rsid w:val="00A151D8"/>
    <w:rsid w:val="00A172CA"/>
    <w:rsid w:val="00A20990"/>
    <w:rsid w:val="00A210DF"/>
    <w:rsid w:val="00A2116A"/>
    <w:rsid w:val="00A32F58"/>
    <w:rsid w:val="00A373A1"/>
    <w:rsid w:val="00A4170F"/>
    <w:rsid w:val="00A459AA"/>
    <w:rsid w:val="00A46F50"/>
    <w:rsid w:val="00A51270"/>
    <w:rsid w:val="00A52DF4"/>
    <w:rsid w:val="00A54C05"/>
    <w:rsid w:val="00A72E56"/>
    <w:rsid w:val="00A7322E"/>
    <w:rsid w:val="00A91EE4"/>
    <w:rsid w:val="00AA1629"/>
    <w:rsid w:val="00AA53ED"/>
    <w:rsid w:val="00AC773E"/>
    <w:rsid w:val="00AD5617"/>
    <w:rsid w:val="00AD619A"/>
    <w:rsid w:val="00AD7D81"/>
    <w:rsid w:val="00AE2C68"/>
    <w:rsid w:val="00B06084"/>
    <w:rsid w:val="00B131FD"/>
    <w:rsid w:val="00B224AF"/>
    <w:rsid w:val="00B35C4A"/>
    <w:rsid w:val="00B35CAA"/>
    <w:rsid w:val="00B42994"/>
    <w:rsid w:val="00B47D72"/>
    <w:rsid w:val="00B52BA3"/>
    <w:rsid w:val="00B535BC"/>
    <w:rsid w:val="00B549FA"/>
    <w:rsid w:val="00B6532C"/>
    <w:rsid w:val="00B70FBF"/>
    <w:rsid w:val="00B8729D"/>
    <w:rsid w:val="00B93B6A"/>
    <w:rsid w:val="00B96C42"/>
    <w:rsid w:val="00B96D05"/>
    <w:rsid w:val="00BB0A85"/>
    <w:rsid w:val="00BB34B4"/>
    <w:rsid w:val="00BB6E39"/>
    <w:rsid w:val="00BB6F2B"/>
    <w:rsid w:val="00BC2167"/>
    <w:rsid w:val="00BF4171"/>
    <w:rsid w:val="00BF7A7C"/>
    <w:rsid w:val="00C02489"/>
    <w:rsid w:val="00C038D7"/>
    <w:rsid w:val="00C06C47"/>
    <w:rsid w:val="00C138D1"/>
    <w:rsid w:val="00C173B0"/>
    <w:rsid w:val="00C236D7"/>
    <w:rsid w:val="00C2472A"/>
    <w:rsid w:val="00C27F49"/>
    <w:rsid w:val="00C43892"/>
    <w:rsid w:val="00C451F7"/>
    <w:rsid w:val="00C5024B"/>
    <w:rsid w:val="00C5147E"/>
    <w:rsid w:val="00C54DED"/>
    <w:rsid w:val="00C64F34"/>
    <w:rsid w:val="00C708A7"/>
    <w:rsid w:val="00C7668C"/>
    <w:rsid w:val="00C816AD"/>
    <w:rsid w:val="00C92EA5"/>
    <w:rsid w:val="00C975C6"/>
    <w:rsid w:val="00CB0B96"/>
    <w:rsid w:val="00CD1DD1"/>
    <w:rsid w:val="00CD3C87"/>
    <w:rsid w:val="00CE0A91"/>
    <w:rsid w:val="00CF5500"/>
    <w:rsid w:val="00CF6E3A"/>
    <w:rsid w:val="00CF7777"/>
    <w:rsid w:val="00CF7E1D"/>
    <w:rsid w:val="00D01A6B"/>
    <w:rsid w:val="00D201FF"/>
    <w:rsid w:val="00D338B6"/>
    <w:rsid w:val="00D34E9A"/>
    <w:rsid w:val="00D41B71"/>
    <w:rsid w:val="00D5110D"/>
    <w:rsid w:val="00D621BE"/>
    <w:rsid w:val="00D62385"/>
    <w:rsid w:val="00D708E7"/>
    <w:rsid w:val="00D710D9"/>
    <w:rsid w:val="00DA0167"/>
    <w:rsid w:val="00DA017A"/>
    <w:rsid w:val="00DA2209"/>
    <w:rsid w:val="00DA35E0"/>
    <w:rsid w:val="00DA3F72"/>
    <w:rsid w:val="00DB6030"/>
    <w:rsid w:val="00DB6F6D"/>
    <w:rsid w:val="00DD2758"/>
    <w:rsid w:val="00DD33B7"/>
    <w:rsid w:val="00DD5596"/>
    <w:rsid w:val="00DD60D3"/>
    <w:rsid w:val="00DE01E8"/>
    <w:rsid w:val="00DE1229"/>
    <w:rsid w:val="00DE2FA6"/>
    <w:rsid w:val="00DE313A"/>
    <w:rsid w:val="00DE6793"/>
    <w:rsid w:val="00DF180D"/>
    <w:rsid w:val="00DF22E6"/>
    <w:rsid w:val="00DF2EB8"/>
    <w:rsid w:val="00DF7384"/>
    <w:rsid w:val="00E06C63"/>
    <w:rsid w:val="00E11539"/>
    <w:rsid w:val="00E24274"/>
    <w:rsid w:val="00E37166"/>
    <w:rsid w:val="00E400F5"/>
    <w:rsid w:val="00E50F58"/>
    <w:rsid w:val="00E61B7C"/>
    <w:rsid w:val="00E64230"/>
    <w:rsid w:val="00E70E00"/>
    <w:rsid w:val="00E7504C"/>
    <w:rsid w:val="00E7566B"/>
    <w:rsid w:val="00E942AD"/>
    <w:rsid w:val="00E952E0"/>
    <w:rsid w:val="00E97BCC"/>
    <w:rsid w:val="00E97CDD"/>
    <w:rsid w:val="00EA0FD4"/>
    <w:rsid w:val="00EA2AD4"/>
    <w:rsid w:val="00EA5C51"/>
    <w:rsid w:val="00EB11B6"/>
    <w:rsid w:val="00EB7005"/>
    <w:rsid w:val="00EC055B"/>
    <w:rsid w:val="00EC11D9"/>
    <w:rsid w:val="00ED07AC"/>
    <w:rsid w:val="00ED2FC8"/>
    <w:rsid w:val="00EE0768"/>
    <w:rsid w:val="00EE51C9"/>
    <w:rsid w:val="00EF6EAF"/>
    <w:rsid w:val="00F00CDC"/>
    <w:rsid w:val="00F05DCE"/>
    <w:rsid w:val="00F15680"/>
    <w:rsid w:val="00F15DD7"/>
    <w:rsid w:val="00F37052"/>
    <w:rsid w:val="00F42817"/>
    <w:rsid w:val="00F43D36"/>
    <w:rsid w:val="00F4490E"/>
    <w:rsid w:val="00F510F3"/>
    <w:rsid w:val="00F52590"/>
    <w:rsid w:val="00F61228"/>
    <w:rsid w:val="00F7163D"/>
    <w:rsid w:val="00F82D20"/>
    <w:rsid w:val="00F83D51"/>
    <w:rsid w:val="00F86BB2"/>
    <w:rsid w:val="00F933D2"/>
    <w:rsid w:val="00F94C3E"/>
    <w:rsid w:val="00FA2A28"/>
    <w:rsid w:val="00FA74DF"/>
    <w:rsid w:val="00FB5739"/>
    <w:rsid w:val="00FC114A"/>
    <w:rsid w:val="00FC2733"/>
    <w:rsid w:val="00FC36E0"/>
    <w:rsid w:val="00FC4E48"/>
    <w:rsid w:val="00FC796E"/>
    <w:rsid w:val="00FD02F6"/>
    <w:rsid w:val="00FD2F6B"/>
    <w:rsid w:val="00FD5F1B"/>
    <w:rsid w:val="00FD61D0"/>
    <w:rsid w:val="00FE1DB6"/>
    <w:rsid w:val="00FF122D"/>
    <w:rsid w:val="01097D8C"/>
    <w:rsid w:val="0111592D"/>
    <w:rsid w:val="0119680E"/>
    <w:rsid w:val="011F2A79"/>
    <w:rsid w:val="01217070"/>
    <w:rsid w:val="0122381D"/>
    <w:rsid w:val="012564A7"/>
    <w:rsid w:val="01292AF8"/>
    <w:rsid w:val="01326571"/>
    <w:rsid w:val="01374A8D"/>
    <w:rsid w:val="013B6CD0"/>
    <w:rsid w:val="01456DAE"/>
    <w:rsid w:val="014604A8"/>
    <w:rsid w:val="01520C7A"/>
    <w:rsid w:val="015505E3"/>
    <w:rsid w:val="01577169"/>
    <w:rsid w:val="015B7AC6"/>
    <w:rsid w:val="0160117B"/>
    <w:rsid w:val="01636FCD"/>
    <w:rsid w:val="016F0453"/>
    <w:rsid w:val="01747E56"/>
    <w:rsid w:val="017815C0"/>
    <w:rsid w:val="0192077D"/>
    <w:rsid w:val="0192621F"/>
    <w:rsid w:val="01933FD5"/>
    <w:rsid w:val="01A8486B"/>
    <w:rsid w:val="01C83E2D"/>
    <w:rsid w:val="01C866F9"/>
    <w:rsid w:val="01C90096"/>
    <w:rsid w:val="01D56023"/>
    <w:rsid w:val="01D73BC6"/>
    <w:rsid w:val="01D97016"/>
    <w:rsid w:val="01E34CAB"/>
    <w:rsid w:val="01E54ACA"/>
    <w:rsid w:val="01E64560"/>
    <w:rsid w:val="01F76385"/>
    <w:rsid w:val="0202238B"/>
    <w:rsid w:val="02051AFA"/>
    <w:rsid w:val="020C3E95"/>
    <w:rsid w:val="02202BF7"/>
    <w:rsid w:val="022E1D38"/>
    <w:rsid w:val="022F570A"/>
    <w:rsid w:val="023253D4"/>
    <w:rsid w:val="02464EFD"/>
    <w:rsid w:val="02474149"/>
    <w:rsid w:val="025041F5"/>
    <w:rsid w:val="025D207A"/>
    <w:rsid w:val="025D5F9D"/>
    <w:rsid w:val="0276165F"/>
    <w:rsid w:val="0278360B"/>
    <w:rsid w:val="029C3B08"/>
    <w:rsid w:val="02CA6169"/>
    <w:rsid w:val="02F11CE1"/>
    <w:rsid w:val="02F56A6F"/>
    <w:rsid w:val="02F97C15"/>
    <w:rsid w:val="02FF63F8"/>
    <w:rsid w:val="030D25D8"/>
    <w:rsid w:val="031A4A5C"/>
    <w:rsid w:val="032F0F60"/>
    <w:rsid w:val="03340527"/>
    <w:rsid w:val="0352568B"/>
    <w:rsid w:val="036D29FE"/>
    <w:rsid w:val="037815FD"/>
    <w:rsid w:val="037E3806"/>
    <w:rsid w:val="03893453"/>
    <w:rsid w:val="039020DC"/>
    <w:rsid w:val="039D7453"/>
    <w:rsid w:val="03A11514"/>
    <w:rsid w:val="03B20524"/>
    <w:rsid w:val="03B5036D"/>
    <w:rsid w:val="03B569FC"/>
    <w:rsid w:val="03B70805"/>
    <w:rsid w:val="03BA57D1"/>
    <w:rsid w:val="03BD58AF"/>
    <w:rsid w:val="03C37959"/>
    <w:rsid w:val="03CC00C8"/>
    <w:rsid w:val="03CE69C4"/>
    <w:rsid w:val="03D76A85"/>
    <w:rsid w:val="03DB128B"/>
    <w:rsid w:val="03F24A85"/>
    <w:rsid w:val="03FB4A98"/>
    <w:rsid w:val="04064C7F"/>
    <w:rsid w:val="040678DD"/>
    <w:rsid w:val="040D08F7"/>
    <w:rsid w:val="04130F02"/>
    <w:rsid w:val="042F7F22"/>
    <w:rsid w:val="04356E5C"/>
    <w:rsid w:val="043D6CCF"/>
    <w:rsid w:val="04425886"/>
    <w:rsid w:val="04774980"/>
    <w:rsid w:val="047F2DC0"/>
    <w:rsid w:val="048B1358"/>
    <w:rsid w:val="04A62BDA"/>
    <w:rsid w:val="04C26955"/>
    <w:rsid w:val="04C83981"/>
    <w:rsid w:val="04CD772B"/>
    <w:rsid w:val="04DB0285"/>
    <w:rsid w:val="04E03BFB"/>
    <w:rsid w:val="04EE72A6"/>
    <w:rsid w:val="05062645"/>
    <w:rsid w:val="05071AA6"/>
    <w:rsid w:val="050C7E9E"/>
    <w:rsid w:val="050D64D6"/>
    <w:rsid w:val="050F7E19"/>
    <w:rsid w:val="051F5E59"/>
    <w:rsid w:val="053820C2"/>
    <w:rsid w:val="05487B4D"/>
    <w:rsid w:val="056443FE"/>
    <w:rsid w:val="0568138B"/>
    <w:rsid w:val="05695780"/>
    <w:rsid w:val="05754772"/>
    <w:rsid w:val="05785B85"/>
    <w:rsid w:val="05904680"/>
    <w:rsid w:val="05922461"/>
    <w:rsid w:val="05934B6B"/>
    <w:rsid w:val="059E40EF"/>
    <w:rsid w:val="05AD26E6"/>
    <w:rsid w:val="05B00628"/>
    <w:rsid w:val="05BB430D"/>
    <w:rsid w:val="05D81667"/>
    <w:rsid w:val="05DD6A32"/>
    <w:rsid w:val="05E663E4"/>
    <w:rsid w:val="05ED72D5"/>
    <w:rsid w:val="05F10FA1"/>
    <w:rsid w:val="05F973D8"/>
    <w:rsid w:val="05FD451D"/>
    <w:rsid w:val="06013492"/>
    <w:rsid w:val="060C3E7B"/>
    <w:rsid w:val="06102CE8"/>
    <w:rsid w:val="06243490"/>
    <w:rsid w:val="06273036"/>
    <w:rsid w:val="06274F28"/>
    <w:rsid w:val="06277E1E"/>
    <w:rsid w:val="062C27F1"/>
    <w:rsid w:val="062E56B4"/>
    <w:rsid w:val="063232F8"/>
    <w:rsid w:val="06562220"/>
    <w:rsid w:val="06626300"/>
    <w:rsid w:val="06803EFC"/>
    <w:rsid w:val="068C0540"/>
    <w:rsid w:val="069A079C"/>
    <w:rsid w:val="06A17A02"/>
    <w:rsid w:val="06AB5701"/>
    <w:rsid w:val="06B30065"/>
    <w:rsid w:val="06F35FC4"/>
    <w:rsid w:val="06F51712"/>
    <w:rsid w:val="06F64412"/>
    <w:rsid w:val="06FA1BCD"/>
    <w:rsid w:val="06FC0B06"/>
    <w:rsid w:val="07037668"/>
    <w:rsid w:val="070E6657"/>
    <w:rsid w:val="071A0CA7"/>
    <w:rsid w:val="07244506"/>
    <w:rsid w:val="0732436E"/>
    <w:rsid w:val="073B0A10"/>
    <w:rsid w:val="074052BA"/>
    <w:rsid w:val="074226F6"/>
    <w:rsid w:val="0744799A"/>
    <w:rsid w:val="074A1A7E"/>
    <w:rsid w:val="074B77B2"/>
    <w:rsid w:val="07550729"/>
    <w:rsid w:val="075A0A07"/>
    <w:rsid w:val="07721097"/>
    <w:rsid w:val="0778059A"/>
    <w:rsid w:val="077C7E57"/>
    <w:rsid w:val="077E0991"/>
    <w:rsid w:val="07807FD7"/>
    <w:rsid w:val="078774D1"/>
    <w:rsid w:val="078B7B94"/>
    <w:rsid w:val="07915D87"/>
    <w:rsid w:val="0795047E"/>
    <w:rsid w:val="07A85C55"/>
    <w:rsid w:val="07AE1944"/>
    <w:rsid w:val="07C53F43"/>
    <w:rsid w:val="07CB1BA0"/>
    <w:rsid w:val="07D12981"/>
    <w:rsid w:val="07D1342E"/>
    <w:rsid w:val="08026BB0"/>
    <w:rsid w:val="080829BC"/>
    <w:rsid w:val="081E0B1B"/>
    <w:rsid w:val="082F455F"/>
    <w:rsid w:val="08346C9C"/>
    <w:rsid w:val="08361832"/>
    <w:rsid w:val="08430947"/>
    <w:rsid w:val="084F687D"/>
    <w:rsid w:val="086020A2"/>
    <w:rsid w:val="0877635D"/>
    <w:rsid w:val="087E6B5E"/>
    <w:rsid w:val="087F38BE"/>
    <w:rsid w:val="0889189F"/>
    <w:rsid w:val="08986C52"/>
    <w:rsid w:val="089E1F10"/>
    <w:rsid w:val="08AD6F31"/>
    <w:rsid w:val="08B462DA"/>
    <w:rsid w:val="08CE5560"/>
    <w:rsid w:val="08E73ABA"/>
    <w:rsid w:val="08E82570"/>
    <w:rsid w:val="090644DC"/>
    <w:rsid w:val="090925C7"/>
    <w:rsid w:val="0920540C"/>
    <w:rsid w:val="09217572"/>
    <w:rsid w:val="092C0ABD"/>
    <w:rsid w:val="09366E9A"/>
    <w:rsid w:val="09466E4E"/>
    <w:rsid w:val="09491587"/>
    <w:rsid w:val="09553B63"/>
    <w:rsid w:val="096058F3"/>
    <w:rsid w:val="09631973"/>
    <w:rsid w:val="09766CD4"/>
    <w:rsid w:val="09960925"/>
    <w:rsid w:val="099964B3"/>
    <w:rsid w:val="09B5130A"/>
    <w:rsid w:val="09C070A2"/>
    <w:rsid w:val="09C232C5"/>
    <w:rsid w:val="09D63877"/>
    <w:rsid w:val="09DB643B"/>
    <w:rsid w:val="09DE63D9"/>
    <w:rsid w:val="09F92E78"/>
    <w:rsid w:val="09FC31E8"/>
    <w:rsid w:val="0A010578"/>
    <w:rsid w:val="0A0E2C1E"/>
    <w:rsid w:val="0A0F198F"/>
    <w:rsid w:val="0A110812"/>
    <w:rsid w:val="0A1920F5"/>
    <w:rsid w:val="0A1D0CAF"/>
    <w:rsid w:val="0A2C72D2"/>
    <w:rsid w:val="0A2E3F53"/>
    <w:rsid w:val="0A31627B"/>
    <w:rsid w:val="0A330043"/>
    <w:rsid w:val="0A332027"/>
    <w:rsid w:val="0A3608EF"/>
    <w:rsid w:val="0A3977E5"/>
    <w:rsid w:val="0A4C5174"/>
    <w:rsid w:val="0A506736"/>
    <w:rsid w:val="0A6665C9"/>
    <w:rsid w:val="0A6A5C48"/>
    <w:rsid w:val="0A6E312A"/>
    <w:rsid w:val="0A76063A"/>
    <w:rsid w:val="0A800DE4"/>
    <w:rsid w:val="0A843877"/>
    <w:rsid w:val="0A89395B"/>
    <w:rsid w:val="0A99092D"/>
    <w:rsid w:val="0ABC6AA6"/>
    <w:rsid w:val="0ACF7321"/>
    <w:rsid w:val="0AD5082F"/>
    <w:rsid w:val="0AE34334"/>
    <w:rsid w:val="0AE421C0"/>
    <w:rsid w:val="0AE50CA1"/>
    <w:rsid w:val="0B03199A"/>
    <w:rsid w:val="0B0916EE"/>
    <w:rsid w:val="0B100D93"/>
    <w:rsid w:val="0B12028D"/>
    <w:rsid w:val="0B1E65F9"/>
    <w:rsid w:val="0B341652"/>
    <w:rsid w:val="0B484E70"/>
    <w:rsid w:val="0B5265D1"/>
    <w:rsid w:val="0B655FB6"/>
    <w:rsid w:val="0B684647"/>
    <w:rsid w:val="0B97458D"/>
    <w:rsid w:val="0B977391"/>
    <w:rsid w:val="0BA35536"/>
    <w:rsid w:val="0BB90D4D"/>
    <w:rsid w:val="0BC7705E"/>
    <w:rsid w:val="0BD9572F"/>
    <w:rsid w:val="0BDC6351"/>
    <w:rsid w:val="0BE60CB6"/>
    <w:rsid w:val="0BF173FF"/>
    <w:rsid w:val="0BF17FF8"/>
    <w:rsid w:val="0C07544A"/>
    <w:rsid w:val="0C0A0E06"/>
    <w:rsid w:val="0C0B5BBB"/>
    <w:rsid w:val="0C167B66"/>
    <w:rsid w:val="0C1A28E5"/>
    <w:rsid w:val="0C2E5463"/>
    <w:rsid w:val="0C3C4002"/>
    <w:rsid w:val="0C4D4B0A"/>
    <w:rsid w:val="0C4F6362"/>
    <w:rsid w:val="0C5B6BA1"/>
    <w:rsid w:val="0C6709CB"/>
    <w:rsid w:val="0C7062C6"/>
    <w:rsid w:val="0C773A43"/>
    <w:rsid w:val="0C8B4C7C"/>
    <w:rsid w:val="0C8D1522"/>
    <w:rsid w:val="0C90792D"/>
    <w:rsid w:val="0C91051E"/>
    <w:rsid w:val="0CBB3254"/>
    <w:rsid w:val="0CD52F73"/>
    <w:rsid w:val="0CD95E43"/>
    <w:rsid w:val="0CED23AC"/>
    <w:rsid w:val="0CF12E49"/>
    <w:rsid w:val="0CF53FD6"/>
    <w:rsid w:val="0D0B74EF"/>
    <w:rsid w:val="0D210E29"/>
    <w:rsid w:val="0D295DA8"/>
    <w:rsid w:val="0D3E2EAD"/>
    <w:rsid w:val="0D4942DD"/>
    <w:rsid w:val="0D5044B7"/>
    <w:rsid w:val="0D646FD0"/>
    <w:rsid w:val="0D6A309F"/>
    <w:rsid w:val="0D7566AD"/>
    <w:rsid w:val="0D7D0E29"/>
    <w:rsid w:val="0D88716D"/>
    <w:rsid w:val="0D9423EB"/>
    <w:rsid w:val="0D9C4739"/>
    <w:rsid w:val="0DA53E7E"/>
    <w:rsid w:val="0DB1540D"/>
    <w:rsid w:val="0DBF780A"/>
    <w:rsid w:val="0DC125E2"/>
    <w:rsid w:val="0DC34374"/>
    <w:rsid w:val="0DC6622F"/>
    <w:rsid w:val="0DD324A4"/>
    <w:rsid w:val="0DE00220"/>
    <w:rsid w:val="0DF849EB"/>
    <w:rsid w:val="0E0C1A4B"/>
    <w:rsid w:val="0E1F10A4"/>
    <w:rsid w:val="0E276034"/>
    <w:rsid w:val="0E2D31AD"/>
    <w:rsid w:val="0E2E755F"/>
    <w:rsid w:val="0E300C37"/>
    <w:rsid w:val="0E337304"/>
    <w:rsid w:val="0E507CF9"/>
    <w:rsid w:val="0E620644"/>
    <w:rsid w:val="0E6B35DC"/>
    <w:rsid w:val="0E7650A8"/>
    <w:rsid w:val="0E8709CA"/>
    <w:rsid w:val="0E975183"/>
    <w:rsid w:val="0E9A1A2A"/>
    <w:rsid w:val="0EA25BDD"/>
    <w:rsid w:val="0EA93835"/>
    <w:rsid w:val="0EAA135B"/>
    <w:rsid w:val="0EAB5F45"/>
    <w:rsid w:val="0EB10FE2"/>
    <w:rsid w:val="0EB15267"/>
    <w:rsid w:val="0EBD483F"/>
    <w:rsid w:val="0EDC3C6E"/>
    <w:rsid w:val="0EEA1111"/>
    <w:rsid w:val="0EEB1821"/>
    <w:rsid w:val="0EF420E1"/>
    <w:rsid w:val="0EFD48B5"/>
    <w:rsid w:val="0F084209"/>
    <w:rsid w:val="0F2A16D0"/>
    <w:rsid w:val="0F3F6F81"/>
    <w:rsid w:val="0F4738D1"/>
    <w:rsid w:val="0F474895"/>
    <w:rsid w:val="0F4824BB"/>
    <w:rsid w:val="0F542540"/>
    <w:rsid w:val="0F6B1561"/>
    <w:rsid w:val="0F74096A"/>
    <w:rsid w:val="0F9D0C2E"/>
    <w:rsid w:val="0F9F6C9B"/>
    <w:rsid w:val="0FAB1251"/>
    <w:rsid w:val="0FB740CF"/>
    <w:rsid w:val="0FCF319B"/>
    <w:rsid w:val="0FD70888"/>
    <w:rsid w:val="0FF722BF"/>
    <w:rsid w:val="0FF8185A"/>
    <w:rsid w:val="0FFB0DB2"/>
    <w:rsid w:val="100D1C3A"/>
    <w:rsid w:val="10146669"/>
    <w:rsid w:val="10150F70"/>
    <w:rsid w:val="10331E8E"/>
    <w:rsid w:val="10346C14"/>
    <w:rsid w:val="1053456A"/>
    <w:rsid w:val="10566781"/>
    <w:rsid w:val="10572D96"/>
    <w:rsid w:val="105A7078"/>
    <w:rsid w:val="10660E5A"/>
    <w:rsid w:val="10696408"/>
    <w:rsid w:val="106E6C4D"/>
    <w:rsid w:val="10790661"/>
    <w:rsid w:val="107D477F"/>
    <w:rsid w:val="107E3F57"/>
    <w:rsid w:val="10827D27"/>
    <w:rsid w:val="108F2225"/>
    <w:rsid w:val="10A23A01"/>
    <w:rsid w:val="10BA04F1"/>
    <w:rsid w:val="10C30449"/>
    <w:rsid w:val="10C93004"/>
    <w:rsid w:val="10D203B6"/>
    <w:rsid w:val="10E44043"/>
    <w:rsid w:val="10FE23FA"/>
    <w:rsid w:val="110925D8"/>
    <w:rsid w:val="11144CCC"/>
    <w:rsid w:val="1131702E"/>
    <w:rsid w:val="1136621E"/>
    <w:rsid w:val="11377F1F"/>
    <w:rsid w:val="113A4AA8"/>
    <w:rsid w:val="113E160A"/>
    <w:rsid w:val="113E4C1A"/>
    <w:rsid w:val="113E7DC7"/>
    <w:rsid w:val="1146369E"/>
    <w:rsid w:val="114D52A6"/>
    <w:rsid w:val="115F3BC1"/>
    <w:rsid w:val="11635100"/>
    <w:rsid w:val="11666B9B"/>
    <w:rsid w:val="11677546"/>
    <w:rsid w:val="116C2CA3"/>
    <w:rsid w:val="116C311E"/>
    <w:rsid w:val="116D6F84"/>
    <w:rsid w:val="11745EFC"/>
    <w:rsid w:val="11755B31"/>
    <w:rsid w:val="11816B93"/>
    <w:rsid w:val="11856687"/>
    <w:rsid w:val="118A103B"/>
    <w:rsid w:val="11B927E1"/>
    <w:rsid w:val="11BD47BA"/>
    <w:rsid w:val="11C46F35"/>
    <w:rsid w:val="11D648D0"/>
    <w:rsid w:val="11DA3958"/>
    <w:rsid w:val="11E001EE"/>
    <w:rsid w:val="122C46BA"/>
    <w:rsid w:val="123A135D"/>
    <w:rsid w:val="124234EF"/>
    <w:rsid w:val="125827EA"/>
    <w:rsid w:val="125A3F11"/>
    <w:rsid w:val="125E4AB6"/>
    <w:rsid w:val="1265527C"/>
    <w:rsid w:val="12680987"/>
    <w:rsid w:val="126A63A6"/>
    <w:rsid w:val="126B3333"/>
    <w:rsid w:val="126C7C52"/>
    <w:rsid w:val="126F2109"/>
    <w:rsid w:val="127E7259"/>
    <w:rsid w:val="128F77C2"/>
    <w:rsid w:val="12974FE0"/>
    <w:rsid w:val="12A24E53"/>
    <w:rsid w:val="12AB2EEA"/>
    <w:rsid w:val="12AF2A5D"/>
    <w:rsid w:val="12B81957"/>
    <w:rsid w:val="12DD5EC9"/>
    <w:rsid w:val="12F2261B"/>
    <w:rsid w:val="13031BF0"/>
    <w:rsid w:val="130B0817"/>
    <w:rsid w:val="130B198E"/>
    <w:rsid w:val="131461D2"/>
    <w:rsid w:val="1315022B"/>
    <w:rsid w:val="1329123D"/>
    <w:rsid w:val="132D3EA7"/>
    <w:rsid w:val="13306DDC"/>
    <w:rsid w:val="133B417E"/>
    <w:rsid w:val="133E099F"/>
    <w:rsid w:val="135725D9"/>
    <w:rsid w:val="13675A6C"/>
    <w:rsid w:val="13791F55"/>
    <w:rsid w:val="137A28C2"/>
    <w:rsid w:val="13800DA6"/>
    <w:rsid w:val="13837B81"/>
    <w:rsid w:val="138F6C6C"/>
    <w:rsid w:val="13B90890"/>
    <w:rsid w:val="13C47DB4"/>
    <w:rsid w:val="13E23633"/>
    <w:rsid w:val="13F70939"/>
    <w:rsid w:val="13F7233D"/>
    <w:rsid w:val="13FE555A"/>
    <w:rsid w:val="13FF14F0"/>
    <w:rsid w:val="140415EB"/>
    <w:rsid w:val="141B551F"/>
    <w:rsid w:val="14214A6C"/>
    <w:rsid w:val="142B6BFD"/>
    <w:rsid w:val="143D21C5"/>
    <w:rsid w:val="145F1F8A"/>
    <w:rsid w:val="14607467"/>
    <w:rsid w:val="14673DDA"/>
    <w:rsid w:val="146959A8"/>
    <w:rsid w:val="146D6B26"/>
    <w:rsid w:val="14781E65"/>
    <w:rsid w:val="14786AC4"/>
    <w:rsid w:val="14803ADE"/>
    <w:rsid w:val="148C1946"/>
    <w:rsid w:val="14924484"/>
    <w:rsid w:val="14932172"/>
    <w:rsid w:val="149D13A9"/>
    <w:rsid w:val="14AF7C14"/>
    <w:rsid w:val="14B2224C"/>
    <w:rsid w:val="14BB1BE0"/>
    <w:rsid w:val="14E059A2"/>
    <w:rsid w:val="14E1044C"/>
    <w:rsid w:val="14F41582"/>
    <w:rsid w:val="14FA4EE8"/>
    <w:rsid w:val="14FF5322"/>
    <w:rsid w:val="152E6D83"/>
    <w:rsid w:val="152F3A15"/>
    <w:rsid w:val="153679D3"/>
    <w:rsid w:val="153C1237"/>
    <w:rsid w:val="15405B65"/>
    <w:rsid w:val="1545088C"/>
    <w:rsid w:val="156F1F39"/>
    <w:rsid w:val="15750B5B"/>
    <w:rsid w:val="1582015A"/>
    <w:rsid w:val="15820955"/>
    <w:rsid w:val="15836F90"/>
    <w:rsid w:val="15842387"/>
    <w:rsid w:val="15863D5C"/>
    <w:rsid w:val="158F5A6E"/>
    <w:rsid w:val="159C1504"/>
    <w:rsid w:val="15A67DBC"/>
    <w:rsid w:val="15A765F4"/>
    <w:rsid w:val="15AE2449"/>
    <w:rsid w:val="15B51BCC"/>
    <w:rsid w:val="15BB0CFF"/>
    <w:rsid w:val="15BD4A8E"/>
    <w:rsid w:val="15BE7DE4"/>
    <w:rsid w:val="15C14E8A"/>
    <w:rsid w:val="15CD03C0"/>
    <w:rsid w:val="15CE085F"/>
    <w:rsid w:val="15CE2665"/>
    <w:rsid w:val="15D37955"/>
    <w:rsid w:val="15E0119A"/>
    <w:rsid w:val="15E30FA9"/>
    <w:rsid w:val="15F03828"/>
    <w:rsid w:val="15F22A1F"/>
    <w:rsid w:val="15F27F87"/>
    <w:rsid w:val="15F709E7"/>
    <w:rsid w:val="15FA7119"/>
    <w:rsid w:val="15FB09C4"/>
    <w:rsid w:val="15FC4B0C"/>
    <w:rsid w:val="161029C0"/>
    <w:rsid w:val="161223DC"/>
    <w:rsid w:val="161224AA"/>
    <w:rsid w:val="16157670"/>
    <w:rsid w:val="162228E0"/>
    <w:rsid w:val="16245758"/>
    <w:rsid w:val="162846C8"/>
    <w:rsid w:val="162B221B"/>
    <w:rsid w:val="16497B72"/>
    <w:rsid w:val="1655618A"/>
    <w:rsid w:val="16661B63"/>
    <w:rsid w:val="1675573B"/>
    <w:rsid w:val="16861701"/>
    <w:rsid w:val="16872A06"/>
    <w:rsid w:val="169B61A5"/>
    <w:rsid w:val="169F796D"/>
    <w:rsid w:val="16B6795E"/>
    <w:rsid w:val="16C17241"/>
    <w:rsid w:val="16C45664"/>
    <w:rsid w:val="16D162FD"/>
    <w:rsid w:val="16D312A4"/>
    <w:rsid w:val="16D452BE"/>
    <w:rsid w:val="16D626D4"/>
    <w:rsid w:val="16DD6E74"/>
    <w:rsid w:val="16E34B46"/>
    <w:rsid w:val="16ED6797"/>
    <w:rsid w:val="17126F0E"/>
    <w:rsid w:val="1718399C"/>
    <w:rsid w:val="17193B23"/>
    <w:rsid w:val="172839C6"/>
    <w:rsid w:val="17283EEA"/>
    <w:rsid w:val="1743060B"/>
    <w:rsid w:val="174C5E9E"/>
    <w:rsid w:val="174F3339"/>
    <w:rsid w:val="175F13B4"/>
    <w:rsid w:val="175F5F0E"/>
    <w:rsid w:val="17600E69"/>
    <w:rsid w:val="17630B01"/>
    <w:rsid w:val="176C13A9"/>
    <w:rsid w:val="17713F0B"/>
    <w:rsid w:val="177D43F5"/>
    <w:rsid w:val="17834DBE"/>
    <w:rsid w:val="178847A7"/>
    <w:rsid w:val="179043FD"/>
    <w:rsid w:val="17A225A2"/>
    <w:rsid w:val="17B71F4D"/>
    <w:rsid w:val="17BA72E9"/>
    <w:rsid w:val="17BE329A"/>
    <w:rsid w:val="17C35168"/>
    <w:rsid w:val="17CB3868"/>
    <w:rsid w:val="17D2351B"/>
    <w:rsid w:val="17D9057A"/>
    <w:rsid w:val="17DA5D8C"/>
    <w:rsid w:val="17E0722A"/>
    <w:rsid w:val="17EA02A4"/>
    <w:rsid w:val="17F31E6E"/>
    <w:rsid w:val="17FA7BDB"/>
    <w:rsid w:val="17FF344D"/>
    <w:rsid w:val="180526B5"/>
    <w:rsid w:val="18093649"/>
    <w:rsid w:val="180A0746"/>
    <w:rsid w:val="18105A41"/>
    <w:rsid w:val="181B3B6A"/>
    <w:rsid w:val="18210ACB"/>
    <w:rsid w:val="1823144A"/>
    <w:rsid w:val="182E3433"/>
    <w:rsid w:val="183910D1"/>
    <w:rsid w:val="183C1C0D"/>
    <w:rsid w:val="18536AF6"/>
    <w:rsid w:val="185C41BE"/>
    <w:rsid w:val="186F06BE"/>
    <w:rsid w:val="18700F1F"/>
    <w:rsid w:val="18917A87"/>
    <w:rsid w:val="189D0BD3"/>
    <w:rsid w:val="18A20777"/>
    <w:rsid w:val="18B26D5B"/>
    <w:rsid w:val="18CE5C46"/>
    <w:rsid w:val="18E55BDB"/>
    <w:rsid w:val="18E85AA2"/>
    <w:rsid w:val="18ED747A"/>
    <w:rsid w:val="18EE4C2B"/>
    <w:rsid w:val="18F14C40"/>
    <w:rsid w:val="19274253"/>
    <w:rsid w:val="1928434E"/>
    <w:rsid w:val="192C5A66"/>
    <w:rsid w:val="1935277F"/>
    <w:rsid w:val="193F7DB9"/>
    <w:rsid w:val="194067AB"/>
    <w:rsid w:val="19547E43"/>
    <w:rsid w:val="1955189F"/>
    <w:rsid w:val="19562D1F"/>
    <w:rsid w:val="1962557A"/>
    <w:rsid w:val="19661335"/>
    <w:rsid w:val="19663FB4"/>
    <w:rsid w:val="196809E5"/>
    <w:rsid w:val="19707379"/>
    <w:rsid w:val="19732ACB"/>
    <w:rsid w:val="19825AA7"/>
    <w:rsid w:val="19A64818"/>
    <w:rsid w:val="19AC3FEC"/>
    <w:rsid w:val="19AE333F"/>
    <w:rsid w:val="19B23A2F"/>
    <w:rsid w:val="19B347D2"/>
    <w:rsid w:val="19B539D6"/>
    <w:rsid w:val="19CB714E"/>
    <w:rsid w:val="19CD1576"/>
    <w:rsid w:val="19D065F3"/>
    <w:rsid w:val="19DC4FFB"/>
    <w:rsid w:val="19F03915"/>
    <w:rsid w:val="19F311AE"/>
    <w:rsid w:val="1A1068BB"/>
    <w:rsid w:val="1A207614"/>
    <w:rsid w:val="1A33492D"/>
    <w:rsid w:val="1A3E5F99"/>
    <w:rsid w:val="1A432007"/>
    <w:rsid w:val="1A45312B"/>
    <w:rsid w:val="1A523859"/>
    <w:rsid w:val="1A5A0033"/>
    <w:rsid w:val="1A5C3108"/>
    <w:rsid w:val="1A66289B"/>
    <w:rsid w:val="1A6F586F"/>
    <w:rsid w:val="1A7248CC"/>
    <w:rsid w:val="1A7C4DC7"/>
    <w:rsid w:val="1A9B0321"/>
    <w:rsid w:val="1AA960B0"/>
    <w:rsid w:val="1AC2551C"/>
    <w:rsid w:val="1AD01E62"/>
    <w:rsid w:val="1AE96D67"/>
    <w:rsid w:val="1AEC31E9"/>
    <w:rsid w:val="1AF220BF"/>
    <w:rsid w:val="1AF5548D"/>
    <w:rsid w:val="1AF733C7"/>
    <w:rsid w:val="1B04735D"/>
    <w:rsid w:val="1B153812"/>
    <w:rsid w:val="1B171F58"/>
    <w:rsid w:val="1B20206F"/>
    <w:rsid w:val="1B2D3846"/>
    <w:rsid w:val="1B36016B"/>
    <w:rsid w:val="1B3C7CDB"/>
    <w:rsid w:val="1B4573D8"/>
    <w:rsid w:val="1B4B367E"/>
    <w:rsid w:val="1B59326E"/>
    <w:rsid w:val="1B7431D7"/>
    <w:rsid w:val="1B7618E2"/>
    <w:rsid w:val="1B78650A"/>
    <w:rsid w:val="1B7B506B"/>
    <w:rsid w:val="1B890719"/>
    <w:rsid w:val="1B8B1534"/>
    <w:rsid w:val="1B8B3861"/>
    <w:rsid w:val="1B9B524A"/>
    <w:rsid w:val="1B9F3253"/>
    <w:rsid w:val="1BA36261"/>
    <w:rsid w:val="1BAD31A7"/>
    <w:rsid w:val="1BC0726B"/>
    <w:rsid w:val="1BE33E9D"/>
    <w:rsid w:val="1BF3024F"/>
    <w:rsid w:val="1BFB6376"/>
    <w:rsid w:val="1C032397"/>
    <w:rsid w:val="1C10688F"/>
    <w:rsid w:val="1C135949"/>
    <w:rsid w:val="1C1F6986"/>
    <w:rsid w:val="1C21457E"/>
    <w:rsid w:val="1C46308A"/>
    <w:rsid w:val="1C4B6079"/>
    <w:rsid w:val="1C4C70C7"/>
    <w:rsid w:val="1C521ED2"/>
    <w:rsid w:val="1C630441"/>
    <w:rsid w:val="1C726DBA"/>
    <w:rsid w:val="1C775C44"/>
    <w:rsid w:val="1C80077F"/>
    <w:rsid w:val="1C8354CA"/>
    <w:rsid w:val="1C944701"/>
    <w:rsid w:val="1C982FB7"/>
    <w:rsid w:val="1C983F6E"/>
    <w:rsid w:val="1CAA71AA"/>
    <w:rsid w:val="1CDB1412"/>
    <w:rsid w:val="1CE17872"/>
    <w:rsid w:val="1CE83DD8"/>
    <w:rsid w:val="1D0772F2"/>
    <w:rsid w:val="1D125D6F"/>
    <w:rsid w:val="1D1436CA"/>
    <w:rsid w:val="1D2507A6"/>
    <w:rsid w:val="1D402609"/>
    <w:rsid w:val="1D451EC3"/>
    <w:rsid w:val="1D4C0C68"/>
    <w:rsid w:val="1D4F3551"/>
    <w:rsid w:val="1D5B77DA"/>
    <w:rsid w:val="1D5F48F8"/>
    <w:rsid w:val="1D75488A"/>
    <w:rsid w:val="1D7F76B1"/>
    <w:rsid w:val="1D882D91"/>
    <w:rsid w:val="1D992087"/>
    <w:rsid w:val="1DA15639"/>
    <w:rsid w:val="1DBE3065"/>
    <w:rsid w:val="1DC450AA"/>
    <w:rsid w:val="1DDD2B31"/>
    <w:rsid w:val="1DE139A9"/>
    <w:rsid w:val="1DE15D6C"/>
    <w:rsid w:val="1DFA59E4"/>
    <w:rsid w:val="1DFB07FC"/>
    <w:rsid w:val="1E105BB5"/>
    <w:rsid w:val="1E1A39C2"/>
    <w:rsid w:val="1E1E1E3D"/>
    <w:rsid w:val="1E1E4DD6"/>
    <w:rsid w:val="1E206900"/>
    <w:rsid w:val="1E2E1230"/>
    <w:rsid w:val="1E317324"/>
    <w:rsid w:val="1E3C3BCF"/>
    <w:rsid w:val="1E424601"/>
    <w:rsid w:val="1E4377D0"/>
    <w:rsid w:val="1E4E4AC2"/>
    <w:rsid w:val="1E5C5AC8"/>
    <w:rsid w:val="1E5D1845"/>
    <w:rsid w:val="1E6630E1"/>
    <w:rsid w:val="1E710ADE"/>
    <w:rsid w:val="1E7C50AC"/>
    <w:rsid w:val="1E822BFB"/>
    <w:rsid w:val="1E8E4C11"/>
    <w:rsid w:val="1E9A49ED"/>
    <w:rsid w:val="1ECF4C88"/>
    <w:rsid w:val="1ED05C56"/>
    <w:rsid w:val="1ED744AC"/>
    <w:rsid w:val="1ED87790"/>
    <w:rsid w:val="1EE0784E"/>
    <w:rsid w:val="1EE13794"/>
    <w:rsid w:val="1EE537BF"/>
    <w:rsid w:val="1EEA5976"/>
    <w:rsid w:val="1EED0F0B"/>
    <w:rsid w:val="1EF224BB"/>
    <w:rsid w:val="1F042C41"/>
    <w:rsid w:val="1F061775"/>
    <w:rsid w:val="1F09312B"/>
    <w:rsid w:val="1F184A7F"/>
    <w:rsid w:val="1F257B10"/>
    <w:rsid w:val="1F267FCA"/>
    <w:rsid w:val="1F2E3886"/>
    <w:rsid w:val="1F35473C"/>
    <w:rsid w:val="1F391D25"/>
    <w:rsid w:val="1F39376D"/>
    <w:rsid w:val="1F3B5C83"/>
    <w:rsid w:val="1F4C187C"/>
    <w:rsid w:val="1F502E6E"/>
    <w:rsid w:val="1F533D5B"/>
    <w:rsid w:val="1F5B0C1F"/>
    <w:rsid w:val="1F5B4F36"/>
    <w:rsid w:val="1F646D58"/>
    <w:rsid w:val="1F6B1261"/>
    <w:rsid w:val="1F74185B"/>
    <w:rsid w:val="1F7C09E0"/>
    <w:rsid w:val="1FAF6994"/>
    <w:rsid w:val="1FB13B65"/>
    <w:rsid w:val="1FBB5648"/>
    <w:rsid w:val="1FBD02A1"/>
    <w:rsid w:val="1FC64C29"/>
    <w:rsid w:val="1FD0702E"/>
    <w:rsid w:val="1FE02C22"/>
    <w:rsid w:val="1FE223DD"/>
    <w:rsid w:val="1FEB2AB6"/>
    <w:rsid w:val="20006C90"/>
    <w:rsid w:val="20116639"/>
    <w:rsid w:val="20155655"/>
    <w:rsid w:val="20281DE2"/>
    <w:rsid w:val="205859F5"/>
    <w:rsid w:val="206F41B2"/>
    <w:rsid w:val="20743577"/>
    <w:rsid w:val="20781173"/>
    <w:rsid w:val="20794A74"/>
    <w:rsid w:val="207D2EA6"/>
    <w:rsid w:val="208369FF"/>
    <w:rsid w:val="20933558"/>
    <w:rsid w:val="20BA0013"/>
    <w:rsid w:val="20C400DA"/>
    <w:rsid w:val="20C85436"/>
    <w:rsid w:val="20DA5DFC"/>
    <w:rsid w:val="20E266AB"/>
    <w:rsid w:val="20F273C5"/>
    <w:rsid w:val="20F443D6"/>
    <w:rsid w:val="20F86C7F"/>
    <w:rsid w:val="21057D93"/>
    <w:rsid w:val="21163500"/>
    <w:rsid w:val="21262AC3"/>
    <w:rsid w:val="21263ADF"/>
    <w:rsid w:val="21270EE1"/>
    <w:rsid w:val="212A4C29"/>
    <w:rsid w:val="21301099"/>
    <w:rsid w:val="21446F77"/>
    <w:rsid w:val="214809D4"/>
    <w:rsid w:val="21726859"/>
    <w:rsid w:val="21736BE0"/>
    <w:rsid w:val="218F6175"/>
    <w:rsid w:val="21BD006C"/>
    <w:rsid w:val="21BF1EAD"/>
    <w:rsid w:val="21D0047C"/>
    <w:rsid w:val="21E169E1"/>
    <w:rsid w:val="21E30486"/>
    <w:rsid w:val="21EC172E"/>
    <w:rsid w:val="21FA750B"/>
    <w:rsid w:val="21FA7B2B"/>
    <w:rsid w:val="220F01AC"/>
    <w:rsid w:val="22102DFE"/>
    <w:rsid w:val="22181FFD"/>
    <w:rsid w:val="221B27F8"/>
    <w:rsid w:val="221C5C74"/>
    <w:rsid w:val="223558EA"/>
    <w:rsid w:val="2239492E"/>
    <w:rsid w:val="223964AD"/>
    <w:rsid w:val="223E7E9B"/>
    <w:rsid w:val="224E18AF"/>
    <w:rsid w:val="22523C1B"/>
    <w:rsid w:val="22524C5B"/>
    <w:rsid w:val="225B79FC"/>
    <w:rsid w:val="22630E49"/>
    <w:rsid w:val="226F6804"/>
    <w:rsid w:val="228A46E7"/>
    <w:rsid w:val="228F2836"/>
    <w:rsid w:val="22940473"/>
    <w:rsid w:val="22B61F98"/>
    <w:rsid w:val="22B86134"/>
    <w:rsid w:val="22C0796D"/>
    <w:rsid w:val="22D644F2"/>
    <w:rsid w:val="22D7605B"/>
    <w:rsid w:val="22E5537F"/>
    <w:rsid w:val="22EA7EBE"/>
    <w:rsid w:val="22F77D53"/>
    <w:rsid w:val="22FD5322"/>
    <w:rsid w:val="2301542D"/>
    <w:rsid w:val="230D2D0E"/>
    <w:rsid w:val="231971B8"/>
    <w:rsid w:val="231B23F3"/>
    <w:rsid w:val="232D2878"/>
    <w:rsid w:val="23307100"/>
    <w:rsid w:val="234F5229"/>
    <w:rsid w:val="235A13C1"/>
    <w:rsid w:val="236C2E29"/>
    <w:rsid w:val="236D59DC"/>
    <w:rsid w:val="2379327E"/>
    <w:rsid w:val="23A44956"/>
    <w:rsid w:val="23A619BB"/>
    <w:rsid w:val="23AD54F4"/>
    <w:rsid w:val="23B7629C"/>
    <w:rsid w:val="23BF3C04"/>
    <w:rsid w:val="23C54DF5"/>
    <w:rsid w:val="23DD2E61"/>
    <w:rsid w:val="23E96409"/>
    <w:rsid w:val="23F05AE5"/>
    <w:rsid w:val="23F4684C"/>
    <w:rsid w:val="24061C16"/>
    <w:rsid w:val="24284C3B"/>
    <w:rsid w:val="242C0CB6"/>
    <w:rsid w:val="244F6282"/>
    <w:rsid w:val="2450148A"/>
    <w:rsid w:val="245D0543"/>
    <w:rsid w:val="246971E0"/>
    <w:rsid w:val="246D6467"/>
    <w:rsid w:val="248B2616"/>
    <w:rsid w:val="24910C88"/>
    <w:rsid w:val="24960ACB"/>
    <w:rsid w:val="24960EA2"/>
    <w:rsid w:val="249C6E96"/>
    <w:rsid w:val="24A02BBA"/>
    <w:rsid w:val="24A52534"/>
    <w:rsid w:val="24A94602"/>
    <w:rsid w:val="24D44ED3"/>
    <w:rsid w:val="24D70857"/>
    <w:rsid w:val="24E05429"/>
    <w:rsid w:val="24E877C5"/>
    <w:rsid w:val="24EA41AC"/>
    <w:rsid w:val="24ED4D75"/>
    <w:rsid w:val="24ED6359"/>
    <w:rsid w:val="24FB2782"/>
    <w:rsid w:val="25013175"/>
    <w:rsid w:val="2503374B"/>
    <w:rsid w:val="250921F4"/>
    <w:rsid w:val="2509312B"/>
    <w:rsid w:val="25096EA1"/>
    <w:rsid w:val="250F7C7C"/>
    <w:rsid w:val="25190633"/>
    <w:rsid w:val="25197B3E"/>
    <w:rsid w:val="252566B1"/>
    <w:rsid w:val="25284FD9"/>
    <w:rsid w:val="252D2B9E"/>
    <w:rsid w:val="252E36CE"/>
    <w:rsid w:val="25356300"/>
    <w:rsid w:val="253E4DA8"/>
    <w:rsid w:val="253E7A36"/>
    <w:rsid w:val="255048E4"/>
    <w:rsid w:val="25674318"/>
    <w:rsid w:val="257232C3"/>
    <w:rsid w:val="258A07DF"/>
    <w:rsid w:val="25B027CE"/>
    <w:rsid w:val="25B27035"/>
    <w:rsid w:val="25BE5686"/>
    <w:rsid w:val="25DF2464"/>
    <w:rsid w:val="25E52987"/>
    <w:rsid w:val="261819A4"/>
    <w:rsid w:val="262047DF"/>
    <w:rsid w:val="262145C3"/>
    <w:rsid w:val="262E4C62"/>
    <w:rsid w:val="26396E6A"/>
    <w:rsid w:val="263E163D"/>
    <w:rsid w:val="264403D3"/>
    <w:rsid w:val="26473D66"/>
    <w:rsid w:val="2653552E"/>
    <w:rsid w:val="265B327B"/>
    <w:rsid w:val="26630B0D"/>
    <w:rsid w:val="2668478A"/>
    <w:rsid w:val="26765C84"/>
    <w:rsid w:val="26786926"/>
    <w:rsid w:val="267D0A43"/>
    <w:rsid w:val="268B7464"/>
    <w:rsid w:val="26A178BB"/>
    <w:rsid w:val="26A61EFC"/>
    <w:rsid w:val="26BC4C5F"/>
    <w:rsid w:val="26CF072B"/>
    <w:rsid w:val="26DD14A4"/>
    <w:rsid w:val="26DF2FF5"/>
    <w:rsid w:val="26EE57AD"/>
    <w:rsid w:val="27017CDA"/>
    <w:rsid w:val="27034A59"/>
    <w:rsid w:val="2705676B"/>
    <w:rsid w:val="271060F9"/>
    <w:rsid w:val="271308D3"/>
    <w:rsid w:val="2737271F"/>
    <w:rsid w:val="273B67F7"/>
    <w:rsid w:val="27480C73"/>
    <w:rsid w:val="27501098"/>
    <w:rsid w:val="27576238"/>
    <w:rsid w:val="275B3DA4"/>
    <w:rsid w:val="27664C84"/>
    <w:rsid w:val="27811982"/>
    <w:rsid w:val="2782397E"/>
    <w:rsid w:val="27933BB7"/>
    <w:rsid w:val="27952B7B"/>
    <w:rsid w:val="27952CFE"/>
    <w:rsid w:val="279C09D9"/>
    <w:rsid w:val="279C0A45"/>
    <w:rsid w:val="279F0B51"/>
    <w:rsid w:val="27A66E22"/>
    <w:rsid w:val="27A87F41"/>
    <w:rsid w:val="27B154F1"/>
    <w:rsid w:val="27CF19B5"/>
    <w:rsid w:val="27E7184E"/>
    <w:rsid w:val="27F73C85"/>
    <w:rsid w:val="27F84532"/>
    <w:rsid w:val="27FB5FCE"/>
    <w:rsid w:val="27FC632B"/>
    <w:rsid w:val="28081112"/>
    <w:rsid w:val="28343B01"/>
    <w:rsid w:val="283A5948"/>
    <w:rsid w:val="283F57CB"/>
    <w:rsid w:val="28482D75"/>
    <w:rsid w:val="285B2285"/>
    <w:rsid w:val="285B737A"/>
    <w:rsid w:val="286D29E1"/>
    <w:rsid w:val="286D3FCD"/>
    <w:rsid w:val="287F1350"/>
    <w:rsid w:val="28850E78"/>
    <w:rsid w:val="288F7E13"/>
    <w:rsid w:val="28911DD4"/>
    <w:rsid w:val="289E5C88"/>
    <w:rsid w:val="28A003ED"/>
    <w:rsid w:val="28A40488"/>
    <w:rsid w:val="28A91E3B"/>
    <w:rsid w:val="28AE1065"/>
    <w:rsid w:val="28B17F6A"/>
    <w:rsid w:val="28C050EC"/>
    <w:rsid w:val="28CE0917"/>
    <w:rsid w:val="28D13687"/>
    <w:rsid w:val="28D338A4"/>
    <w:rsid w:val="28D71CDE"/>
    <w:rsid w:val="28D85F10"/>
    <w:rsid w:val="2914779D"/>
    <w:rsid w:val="29190B3B"/>
    <w:rsid w:val="292A1D3D"/>
    <w:rsid w:val="29314134"/>
    <w:rsid w:val="29480998"/>
    <w:rsid w:val="294A62C4"/>
    <w:rsid w:val="29572288"/>
    <w:rsid w:val="295E7742"/>
    <w:rsid w:val="29726847"/>
    <w:rsid w:val="297337F7"/>
    <w:rsid w:val="29791C1A"/>
    <w:rsid w:val="297C4826"/>
    <w:rsid w:val="298C795C"/>
    <w:rsid w:val="2995719D"/>
    <w:rsid w:val="29982F8A"/>
    <w:rsid w:val="29A769E4"/>
    <w:rsid w:val="29AA7FC0"/>
    <w:rsid w:val="29B448C3"/>
    <w:rsid w:val="29B702A4"/>
    <w:rsid w:val="29CC77B8"/>
    <w:rsid w:val="29DF308A"/>
    <w:rsid w:val="29EC3B37"/>
    <w:rsid w:val="29EC4D57"/>
    <w:rsid w:val="29FE24E5"/>
    <w:rsid w:val="2A1260E2"/>
    <w:rsid w:val="2A151AB6"/>
    <w:rsid w:val="2A1E0E63"/>
    <w:rsid w:val="2A3624D9"/>
    <w:rsid w:val="2A4150D8"/>
    <w:rsid w:val="2A465BAB"/>
    <w:rsid w:val="2A4E3EA5"/>
    <w:rsid w:val="2A555CB4"/>
    <w:rsid w:val="2A6022CC"/>
    <w:rsid w:val="2A7223F9"/>
    <w:rsid w:val="2A8B07C3"/>
    <w:rsid w:val="2A954A41"/>
    <w:rsid w:val="2A9D774A"/>
    <w:rsid w:val="2AB83E9D"/>
    <w:rsid w:val="2ABE2C69"/>
    <w:rsid w:val="2AC0023B"/>
    <w:rsid w:val="2ACE4ACA"/>
    <w:rsid w:val="2ACF3DD5"/>
    <w:rsid w:val="2AD7212B"/>
    <w:rsid w:val="2AD85022"/>
    <w:rsid w:val="2ADF4024"/>
    <w:rsid w:val="2AE863BF"/>
    <w:rsid w:val="2AF47B66"/>
    <w:rsid w:val="2AFB5BA1"/>
    <w:rsid w:val="2B08132F"/>
    <w:rsid w:val="2B173480"/>
    <w:rsid w:val="2B2C4202"/>
    <w:rsid w:val="2B4D3533"/>
    <w:rsid w:val="2B4F5C1E"/>
    <w:rsid w:val="2B5532FE"/>
    <w:rsid w:val="2B557948"/>
    <w:rsid w:val="2B5A2202"/>
    <w:rsid w:val="2B620A9A"/>
    <w:rsid w:val="2B80626A"/>
    <w:rsid w:val="2B876249"/>
    <w:rsid w:val="2B8B1D95"/>
    <w:rsid w:val="2B9C0AE1"/>
    <w:rsid w:val="2BA31A8A"/>
    <w:rsid w:val="2BE32F0A"/>
    <w:rsid w:val="2BEB3C1D"/>
    <w:rsid w:val="2C0251CB"/>
    <w:rsid w:val="2C0954BB"/>
    <w:rsid w:val="2C0A333A"/>
    <w:rsid w:val="2C0F012D"/>
    <w:rsid w:val="2C207184"/>
    <w:rsid w:val="2C356378"/>
    <w:rsid w:val="2C3847B3"/>
    <w:rsid w:val="2C3F6F7D"/>
    <w:rsid w:val="2C4609A3"/>
    <w:rsid w:val="2C4C475C"/>
    <w:rsid w:val="2C561B4D"/>
    <w:rsid w:val="2C607342"/>
    <w:rsid w:val="2C700EAE"/>
    <w:rsid w:val="2C740D0D"/>
    <w:rsid w:val="2C7F71A3"/>
    <w:rsid w:val="2C8552B4"/>
    <w:rsid w:val="2C8879B0"/>
    <w:rsid w:val="2C9C4CD4"/>
    <w:rsid w:val="2C9E5451"/>
    <w:rsid w:val="2C9F5B38"/>
    <w:rsid w:val="2C9F7969"/>
    <w:rsid w:val="2CB20CB9"/>
    <w:rsid w:val="2CB41A50"/>
    <w:rsid w:val="2CB653A9"/>
    <w:rsid w:val="2CC94D36"/>
    <w:rsid w:val="2CCB5FC1"/>
    <w:rsid w:val="2CF945E5"/>
    <w:rsid w:val="2CFB4024"/>
    <w:rsid w:val="2D0736CD"/>
    <w:rsid w:val="2D083ECB"/>
    <w:rsid w:val="2D0F04FC"/>
    <w:rsid w:val="2D1003A7"/>
    <w:rsid w:val="2D1101B5"/>
    <w:rsid w:val="2D122B7E"/>
    <w:rsid w:val="2D18338A"/>
    <w:rsid w:val="2D1C1D45"/>
    <w:rsid w:val="2D1F1994"/>
    <w:rsid w:val="2D307202"/>
    <w:rsid w:val="2D3E586E"/>
    <w:rsid w:val="2D426E92"/>
    <w:rsid w:val="2D442793"/>
    <w:rsid w:val="2D490004"/>
    <w:rsid w:val="2D554478"/>
    <w:rsid w:val="2D615C8E"/>
    <w:rsid w:val="2D6161DC"/>
    <w:rsid w:val="2D74241F"/>
    <w:rsid w:val="2D7C4DA1"/>
    <w:rsid w:val="2D8708D8"/>
    <w:rsid w:val="2D940FD2"/>
    <w:rsid w:val="2D97632B"/>
    <w:rsid w:val="2D990460"/>
    <w:rsid w:val="2D9A2D57"/>
    <w:rsid w:val="2DA17162"/>
    <w:rsid w:val="2DAD1D8D"/>
    <w:rsid w:val="2DCF6188"/>
    <w:rsid w:val="2DD85385"/>
    <w:rsid w:val="2DE44217"/>
    <w:rsid w:val="2DF906F3"/>
    <w:rsid w:val="2E183793"/>
    <w:rsid w:val="2E35110C"/>
    <w:rsid w:val="2E3A0A3D"/>
    <w:rsid w:val="2E3C2528"/>
    <w:rsid w:val="2E3D59A0"/>
    <w:rsid w:val="2E3F2DA6"/>
    <w:rsid w:val="2E404727"/>
    <w:rsid w:val="2E480AEE"/>
    <w:rsid w:val="2E4F00CC"/>
    <w:rsid w:val="2E58524A"/>
    <w:rsid w:val="2E644DE9"/>
    <w:rsid w:val="2E695706"/>
    <w:rsid w:val="2E8A5534"/>
    <w:rsid w:val="2EB64EED"/>
    <w:rsid w:val="2EBC5B1C"/>
    <w:rsid w:val="2EC00E68"/>
    <w:rsid w:val="2EC21690"/>
    <w:rsid w:val="2EC317D3"/>
    <w:rsid w:val="2EC5700D"/>
    <w:rsid w:val="2EC76A98"/>
    <w:rsid w:val="2ED818A8"/>
    <w:rsid w:val="2EE808EF"/>
    <w:rsid w:val="2EEB0E4A"/>
    <w:rsid w:val="2F045265"/>
    <w:rsid w:val="2F0C118F"/>
    <w:rsid w:val="2F261C5F"/>
    <w:rsid w:val="2F2D3F9E"/>
    <w:rsid w:val="2F3534DA"/>
    <w:rsid w:val="2F3A3193"/>
    <w:rsid w:val="2F542AD1"/>
    <w:rsid w:val="2F552398"/>
    <w:rsid w:val="2F5F2BCE"/>
    <w:rsid w:val="2F6672AA"/>
    <w:rsid w:val="2F6A7056"/>
    <w:rsid w:val="2F6C58E4"/>
    <w:rsid w:val="2F7D6A09"/>
    <w:rsid w:val="2F7E7DAB"/>
    <w:rsid w:val="2F8256E8"/>
    <w:rsid w:val="2F875792"/>
    <w:rsid w:val="2F892875"/>
    <w:rsid w:val="2F986A0C"/>
    <w:rsid w:val="2F9903B3"/>
    <w:rsid w:val="2FB94CA2"/>
    <w:rsid w:val="2FBD5CA6"/>
    <w:rsid w:val="2FBF1E64"/>
    <w:rsid w:val="2FD461FC"/>
    <w:rsid w:val="2FF44E6A"/>
    <w:rsid w:val="2FF81ACE"/>
    <w:rsid w:val="2FF849A0"/>
    <w:rsid w:val="300100AE"/>
    <w:rsid w:val="300246FB"/>
    <w:rsid w:val="30093D45"/>
    <w:rsid w:val="30102A63"/>
    <w:rsid w:val="301E08AC"/>
    <w:rsid w:val="30221E45"/>
    <w:rsid w:val="3025300D"/>
    <w:rsid w:val="302B753E"/>
    <w:rsid w:val="304510F4"/>
    <w:rsid w:val="304F4381"/>
    <w:rsid w:val="30767ACC"/>
    <w:rsid w:val="308375A7"/>
    <w:rsid w:val="3088728F"/>
    <w:rsid w:val="309D02BA"/>
    <w:rsid w:val="30AF460C"/>
    <w:rsid w:val="30AF76EE"/>
    <w:rsid w:val="30B73E5E"/>
    <w:rsid w:val="30C81621"/>
    <w:rsid w:val="30CA159C"/>
    <w:rsid w:val="30D4265A"/>
    <w:rsid w:val="30E65BEE"/>
    <w:rsid w:val="30F71FE5"/>
    <w:rsid w:val="31045065"/>
    <w:rsid w:val="31055D2E"/>
    <w:rsid w:val="31077D68"/>
    <w:rsid w:val="310E203F"/>
    <w:rsid w:val="312C2FF0"/>
    <w:rsid w:val="313B3EFA"/>
    <w:rsid w:val="314000C1"/>
    <w:rsid w:val="314A5D62"/>
    <w:rsid w:val="31504FAA"/>
    <w:rsid w:val="315C3B30"/>
    <w:rsid w:val="316F532F"/>
    <w:rsid w:val="317102C8"/>
    <w:rsid w:val="31805312"/>
    <w:rsid w:val="3184766C"/>
    <w:rsid w:val="319D6C2A"/>
    <w:rsid w:val="31B72F3C"/>
    <w:rsid w:val="31BA39C7"/>
    <w:rsid w:val="31D31AE5"/>
    <w:rsid w:val="31EF29C4"/>
    <w:rsid w:val="31F84007"/>
    <w:rsid w:val="320541A2"/>
    <w:rsid w:val="320A5FE9"/>
    <w:rsid w:val="320D4370"/>
    <w:rsid w:val="32121AB5"/>
    <w:rsid w:val="3214140E"/>
    <w:rsid w:val="322B33C6"/>
    <w:rsid w:val="322C20DD"/>
    <w:rsid w:val="3232497F"/>
    <w:rsid w:val="323A4620"/>
    <w:rsid w:val="32417EFA"/>
    <w:rsid w:val="32601CA7"/>
    <w:rsid w:val="326118DE"/>
    <w:rsid w:val="326168BF"/>
    <w:rsid w:val="326324E8"/>
    <w:rsid w:val="32643F57"/>
    <w:rsid w:val="327343AC"/>
    <w:rsid w:val="32762C2B"/>
    <w:rsid w:val="32850840"/>
    <w:rsid w:val="328B1DB1"/>
    <w:rsid w:val="328C29A2"/>
    <w:rsid w:val="329F1D28"/>
    <w:rsid w:val="32CE2707"/>
    <w:rsid w:val="32D5725E"/>
    <w:rsid w:val="32DA195F"/>
    <w:rsid w:val="32E97DAB"/>
    <w:rsid w:val="32F0569E"/>
    <w:rsid w:val="330C1FAE"/>
    <w:rsid w:val="33181237"/>
    <w:rsid w:val="331813E5"/>
    <w:rsid w:val="3331509A"/>
    <w:rsid w:val="3350536F"/>
    <w:rsid w:val="335773AB"/>
    <w:rsid w:val="33596256"/>
    <w:rsid w:val="33630CC3"/>
    <w:rsid w:val="33751F41"/>
    <w:rsid w:val="338A589D"/>
    <w:rsid w:val="338D6416"/>
    <w:rsid w:val="338F54A3"/>
    <w:rsid w:val="3398738C"/>
    <w:rsid w:val="339A77AB"/>
    <w:rsid w:val="33A91593"/>
    <w:rsid w:val="33B30CA3"/>
    <w:rsid w:val="33C066AE"/>
    <w:rsid w:val="33C90F3B"/>
    <w:rsid w:val="33CA0704"/>
    <w:rsid w:val="33CC5BE2"/>
    <w:rsid w:val="340F2C57"/>
    <w:rsid w:val="341024AB"/>
    <w:rsid w:val="34176A50"/>
    <w:rsid w:val="34247E8D"/>
    <w:rsid w:val="342E2692"/>
    <w:rsid w:val="34331AD7"/>
    <w:rsid w:val="343A1E1E"/>
    <w:rsid w:val="344B3B8E"/>
    <w:rsid w:val="344F0C11"/>
    <w:rsid w:val="34735D6A"/>
    <w:rsid w:val="347668BD"/>
    <w:rsid w:val="34900C89"/>
    <w:rsid w:val="349244B0"/>
    <w:rsid w:val="349D5D64"/>
    <w:rsid w:val="34A07376"/>
    <w:rsid w:val="34AF3D68"/>
    <w:rsid w:val="34BE4995"/>
    <w:rsid w:val="34C57CE7"/>
    <w:rsid w:val="34C7663B"/>
    <w:rsid w:val="34C937AD"/>
    <w:rsid w:val="34CA0BEA"/>
    <w:rsid w:val="34CB2E88"/>
    <w:rsid w:val="34E65B59"/>
    <w:rsid w:val="34F50D84"/>
    <w:rsid w:val="34FE45BB"/>
    <w:rsid w:val="35001158"/>
    <w:rsid w:val="35093A0E"/>
    <w:rsid w:val="35291AC6"/>
    <w:rsid w:val="352C0B57"/>
    <w:rsid w:val="35386072"/>
    <w:rsid w:val="353A7BF0"/>
    <w:rsid w:val="353E41B8"/>
    <w:rsid w:val="35455D91"/>
    <w:rsid w:val="354E6A67"/>
    <w:rsid w:val="355529F0"/>
    <w:rsid w:val="355A52ED"/>
    <w:rsid w:val="356E1733"/>
    <w:rsid w:val="357651A6"/>
    <w:rsid w:val="3584311F"/>
    <w:rsid w:val="35897BF1"/>
    <w:rsid w:val="358E3C81"/>
    <w:rsid w:val="359550EF"/>
    <w:rsid w:val="35E80870"/>
    <w:rsid w:val="35E93FCC"/>
    <w:rsid w:val="361879A1"/>
    <w:rsid w:val="363C6CA6"/>
    <w:rsid w:val="36472647"/>
    <w:rsid w:val="36482CF1"/>
    <w:rsid w:val="364C5F30"/>
    <w:rsid w:val="365A495C"/>
    <w:rsid w:val="36687282"/>
    <w:rsid w:val="369B10DA"/>
    <w:rsid w:val="36A136EF"/>
    <w:rsid w:val="36B3484F"/>
    <w:rsid w:val="36B41939"/>
    <w:rsid w:val="36B43044"/>
    <w:rsid w:val="36B86B13"/>
    <w:rsid w:val="36BB5A51"/>
    <w:rsid w:val="36BC4C58"/>
    <w:rsid w:val="36C35EC9"/>
    <w:rsid w:val="36CD746A"/>
    <w:rsid w:val="36DD7F4D"/>
    <w:rsid w:val="36DE19AC"/>
    <w:rsid w:val="36E04DC1"/>
    <w:rsid w:val="36EB5218"/>
    <w:rsid w:val="36F20D30"/>
    <w:rsid w:val="36FB1231"/>
    <w:rsid w:val="3701026C"/>
    <w:rsid w:val="37036A36"/>
    <w:rsid w:val="370F6184"/>
    <w:rsid w:val="37115C49"/>
    <w:rsid w:val="371608D3"/>
    <w:rsid w:val="371675CE"/>
    <w:rsid w:val="37336308"/>
    <w:rsid w:val="374878C2"/>
    <w:rsid w:val="376D6AAD"/>
    <w:rsid w:val="37896CDB"/>
    <w:rsid w:val="37900066"/>
    <w:rsid w:val="3792650D"/>
    <w:rsid w:val="379317DA"/>
    <w:rsid w:val="37A10C9D"/>
    <w:rsid w:val="37A2460E"/>
    <w:rsid w:val="37A33896"/>
    <w:rsid w:val="37A726AC"/>
    <w:rsid w:val="37A72D3C"/>
    <w:rsid w:val="37B44F2C"/>
    <w:rsid w:val="37B66869"/>
    <w:rsid w:val="37B855F7"/>
    <w:rsid w:val="37C13F11"/>
    <w:rsid w:val="37C22077"/>
    <w:rsid w:val="37CB5CF4"/>
    <w:rsid w:val="37D0035A"/>
    <w:rsid w:val="37DC37C3"/>
    <w:rsid w:val="37E52DAD"/>
    <w:rsid w:val="3808667B"/>
    <w:rsid w:val="38173805"/>
    <w:rsid w:val="381B32AB"/>
    <w:rsid w:val="383052F9"/>
    <w:rsid w:val="384639B4"/>
    <w:rsid w:val="3851785D"/>
    <w:rsid w:val="38542464"/>
    <w:rsid w:val="38546298"/>
    <w:rsid w:val="38647DB3"/>
    <w:rsid w:val="38721BB5"/>
    <w:rsid w:val="38765160"/>
    <w:rsid w:val="38894D98"/>
    <w:rsid w:val="388A4F1E"/>
    <w:rsid w:val="388B17E3"/>
    <w:rsid w:val="388B65AC"/>
    <w:rsid w:val="388D3BD3"/>
    <w:rsid w:val="3890086D"/>
    <w:rsid w:val="38AC5B4C"/>
    <w:rsid w:val="38B9103A"/>
    <w:rsid w:val="38C473F5"/>
    <w:rsid w:val="38DD5AAB"/>
    <w:rsid w:val="38E47304"/>
    <w:rsid w:val="38EB0C11"/>
    <w:rsid w:val="38EB6C8E"/>
    <w:rsid w:val="38EF0274"/>
    <w:rsid w:val="38EF1109"/>
    <w:rsid w:val="390F4A0D"/>
    <w:rsid w:val="39261BBD"/>
    <w:rsid w:val="392B54D9"/>
    <w:rsid w:val="393051E4"/>
    <w:rsid w:val="39382F3B"/>
    <w:rsid w:val="394B3E8E"/>
    <w:rsid w:val="3950439A"/>
    <w:rsid w:val="395C147E"/>
    <w:rsid w:val="395D1767"/>
    <w:rsid w:val="397533EF"/>
    <w:rsid w:val="39837460"/>
    <w:rsid w:val="39955D75"/>
    <w:rsid w:val="399C31D4"/>
    <w:rsid w:val="39A06C79"/>
    <w:rsid w:val="39A76BB5"/>
    <w:rsid w:val="39B04BB0"/>
    <w:rsid w:val="39B8074C"/>
    <w:rsid w:val="39BF69BB"/>
    <w:rsid w:val="39C134CF"/>
    <w:rsid w:val="39DE5A13"/>
    <w:rsid w:val="39DF0676"/>
    <w:rsid w:val="39E5021A"/>
    <w:rsid w:val="39E7368D"/>
    <w:rsid w:val="39EA4680"/>
    <w:rsid w:val="39EA4C55"/>
    <w:rsid w:val="39FA1994"/>
    <w:rsid w:val="3A041F5B"/>
    <w:rsid w:val="3A141414"/>
    <w:rsid w:val="3A157679"/>
    <w:rsid w:val="3A187E4E"/>
    <w:rsid w:val="3A224038"/>
    <w:rsid w:val="3A246994"/>
    <w:rsid w:val="3A516F43"/>
    <w:rsid w:val="3A667311"/>
    <w:rsid w:val="3A7047AC"/>
    <w:rsid w:val="3A806AB7"/>
    <w:rsid w:val="3A86712F"/>
    <w:rsid w:val="3A892109"/>
    <w:rsid w:val="3A9B2F09"/>
    <w:rsid w:val="3AA45E96"/>
    <w:rsid w:val="3AB72A65"/>
    <w:rsid w:val="3AE11911"/>
    <w:rsid w:val="3AE87472"/>
    <w:rsid w:val="3AF0773F"/>
    <w:rsid w:val="3AFC7BBC"/>
    <w:rsid w:val="3AFD5D30"/>
    <w:rsid w:val="3B0036AC"/>
    <w:rsid w:val="3B186779"/>
    <w:rsid w:val="3B1A0277"/>
    <w:rsid w:val="3B1E60AC"/>
    <w:rsid w:val="3B267046"/>
    <w:rsid w:val="3B2C2786"/>
    <w:rsid w:val="3B2E17FF"/>
    <w:rsid w:val="3B375898"/>
    <w:rsid w:val="3B3955B9"/>
    <w:rsid w:val="3B3D1B0B"/>
    <w:rsid w:val="3B461FD5"/>
    <w:rsid w:val="3B475FBD"/>
    <w:rsid w:val="3B4A6102"/>
    <w:rsid w:val="3B601D2D"/>
    <w:rsid w:val="3B6F0784"/>
    <w:rsid w:val="3B853999"/>
    <w:rsid w:val="3B857C49"/>
    <w:rsid w:val="3B872883"/>
    <w:rsid w:val="3B891017"/>
    <w:rsid w:val="3B9A2377"/>
    <w:rsid w:val="3BB3731D"/>
    <w:rsid w:val="3BC4227E"/>
    <w:rsid w:val="3BC96890"/>
    <w:rsid w:val="3BDA0CB3"/>
    <w:rsid w:val="3BDD2CE3"/>
    <w:rsid w:val="3BE8683B"/>
    <w:rsid w:val="3C063688"/>
    <w:rsid w:val="3C1E77A1"/>
    <w:rsid w:val="3C1F21F5"/>
    <w:rsid w:val="3C314E9C"/>
    <w:rsid w:val="3C315106"/>
    <w:rsid w:val="3C37474D"/>
    <w:rsid w:val="3C3A6FCB"/>
    <w:rsid w:val="3C3D4EFB"/>
    <w:rsid w:val="3C3F1A61"/>
    <w:rsid w:val="3C506F42"/>
    <w:rsid w:val="3C574DC9"/>
    <w:rsid w:val="3C5A01DC"/>
    <w:rsid w:val="3C5A305A"/>
    <w:rsid w:val="3C5E5BF2"/>
    <w:rsid w:val="3C6D01E4"/>
    <w:rsid w:val="3C6D1E0E"/>
    <w:rsid w:val="3C7C23FE"/>
    <w:rsid w:val="3C8324C4"/>
    <w:rsid w:val="3C9428C7"/>
    <w:rsid w:val="3C970CA8"/>
    <w:rsid w:val="3C9F1D12"/>
    <w:rsid w:val="3CB725BA"/>
    <w:rsid w:val="3CD874A9"/>
    <w:rsid w:val="3CF52FDB"/>
    <w:rsid w:val="3D020C74"/>
    <w:rsid w:val="3D09531E"/>
    <w:rsid w:val="3D127F47"/>
    <w:rsid w:val="3D2453E1"/>
    <w:rsid w:val="3D270821"/>
    <w:rsid w:val="3D2D2C7E"/>
    <w:rsid w:val="3D480F71"/>
    <w:rsid w:val="3D493FF7"/>
    <w:rsid w:val="3D4D39E8"/>
    <w:rsid w:val="3D56326F"/>
    <w:rsid w:val="3D767346"/>
    <w:rsid w:val="3D7E6819"/>
    <w:rsid w:val="3D8717A4"/>
    <w:rsid w:val="3D964C35"/>
    <w:rsid w:val="3DA0319D"/>
    <w:rsid w:val="3DA535E1"/>
    <w:rsid w:val="3DC366BB"/>
    <w:rsid w:val="3DC62449"/>
    <w:rsid w:val="3DC9689B"/>
    <w:rsid w:val="3DCB426D"/>
    <w:rsid w:val="3DDB10B7"/>
    <w:rsid w:val="3DE948D2"/>
    <w:rsid w:val="3E065808"/>
    <w:rsid w:val="3E32228C"/>
    <w:rsid w:val="3E331186"/>
    <w:rsid w:val="3E3E2BFE"/>
    <w:rsid w:val="3E4C39B3"/>
    <w:rsid w:val="3E4C7E3C"/>
    <w:rsid w:val="3E690F18"/>
    <w:rsid w:val="3E691181"/>
    <w:rsid w:val="3E735F60"/>
    <w:rsid w:val="3E737005"/>
    <w:rsid w:val="3E773170"/>
    <w:rsid w:val="3E83190F"/>
    <w:rsid w:val="3E894239"/>
    <w:rsid w:val="3E901C7C"/>
    <w:rsid w:val="3EAA5829"/>
    <w:rsid w:val="3EAC30A9"/>
    <w:rsid w:val="3EAF60C1"/>
    <w:rsid w:val="3EB276F9"/>
    <w:rsid w:val="3EB92A82"/>
    <w:rsid w:val="3EBB3888"/>
    <w:rsid w:val="3EC86023"/>
    <w:rsid w:val="3ECA20B9"/>
    <w:rsid w:val="3ECF4342"/>
    <w:rsid w:val="3ED00308"/>
    <w:rsid w:val="3ED22166"/>
    <w:rsid w:val="3ED90443"/>
    <w:rsid w:val="3ED948DF"/>
    <w:rsid w:val="3EE31B9B"/>
    <w:rsid w:val="3EE5603F"/>
    <w:rsid w:val="3EE75619"/>
    <w:rsid w:val="3EEA5614"/>
    <w:rsid w:val="3EEC513F"/>
    <w:rsid w:val="3EF319D4"/>
    <w:rsid w:val="3F002526"/>
    <w:rsid w:val="3F034248"/>
    <w:rsid w:val="3F081F60"/>
    <w:rsid w:val="3F0C7198"/>
    <w:rsid w:val="3F360548"/>
    <w:rsid w:val="3F4F1142"/>
    <w:rsid w:val="3F5321EE"/>
    <w:rsid w:val="3F6612CF"/>
    <w:rsid w:val="3F744B5E"/>
    <w:rsid w:val="3F8A3E06"/>
    <w:rsid w:val="3F9D1CE0"/>
    <w:rsid w:val="3FB25A37"/>
    <w:rsid w:val="3FBB7AA8"/>
    <w:rsid w:val="3FF103CD"/>
    <w:rsid w:val="3FF57949"/>
    <w:rsid w:val="3FFC6805"/>
    <w:rsid w:val="40055591"/>
    <w:rsid w:val="400D0B69"/>
    <w:rsid w:val="4018116B"/>
    <w:rsid w:val="40270D50"/>
    <w:rsid w:val="402C16FC"/>
    <w:rsid w:val="402C66C8"/>
    <w:rsid w:val="40395A4D"/>
    <w:rsid w:val="40511BE9"/>
    <w:rsid w:val="40524017"/>
    <w:rsid w:val="4056614D"/>
    <w:rsid w:val="407E47DA"/>
    <w:rsid w:val="408062AA"/>
    <w:rsid w:val="40831549"/>
    <w:rsid w:val="409054D6"/>
    <w:rsid w:val="40945C75"/>
    <w:rsid w:val="409B22A7"/>
    <w:rsid w:val="40B13BB2"/>
    <w:rsid w:val="40CB7C4E"/>
    <w:rsid w:val="40CE71FD"/>
    <w:rsid w:val="40CF35E5"/>
    <w:rsid w:val="40D0010D"/>
    <w:rsid w:val="40E5363C"/>
    <w:rsid w:val="40F61EA8"/>
    <w:rsid w:val="40FF2E2B"/>
    <w:rsid w:val="411609BA"/>
    <w:rsid w:val="41183D63"/>
    <w:rsid w:val="41304D1D"/>
    <w:rsid w:val="4142729E"/>
    <w:rsid w:val="41441E2A"/>
    <w:rsid w:val="414762C7"/>
    <w:rsid w:val="41486EE1"/>
    <w:rsid w:val="41520339"/>
    <w:rsid w:val="4164192B"/>
    <w:rsid w:val="4173379F"/>
    <w:rsid w:val="417D05D5"/>
    <w:rsid w:val="418C5CB4"/>
    <w:rsid w:val="41916915"/>
    <w:rsid w:val="419229E3"/>
    <w:rsid w:val="41AD4BC0"/>
    <w:rsid w:val="41BD64D0"/>
    <w:rsid w:val="41C95FDD"/>
    <w:rsid w:val="41D0037B"/>
    <w:rsid w:val="41D74A53"/>
    <w:rsid w:val="41F06B09"/>
    <w:rsid w:val="41F1637D"/>
    <w:rsid w:val="41F95059"/>
    <w:rsid w:val="420275B0"/>
    <w:rsid w:val="420D0201"/>
    <w:rsid w:val="420F00F1"/>
    <w:rsid w:val="42143C41"/>
    <w:rsid w:val="421D1E57"/>
    <w:rsid w:val="4229368A"/>
    <w:rsid w:val="42310137"/>
    <w:rsid w:val="423C118F"/>
    <w:rsid w:val="42430F44"/>
    <w:rsid w:val="42470DA9"/>
    <w:rsid w:val="424A05BA"/>
    <w:rsid w:val="424A2A65"/>
    <w:rsid w:val="425D3E28"/>
    <w:rsid w:val="427E0DF6"/>
    <w:rsid w:val="427F3327"/>
    <w:rsid w:val="42801216"/>
    <w:rsid w:val="42A60ABC"/>
    <w:rsid w:val="42C42797"/>
    <w:rsid w:val="42C86424"/>
    <w:rsid w:val="42D86FB2"/>
    <w:rsid w:val="42DA5063"/>
    <w:rsid w:val="42DD4E87"/>
    <w:rsid w:val="42E61E7C"/>
    <w:rsid w:val="42F12B50"/>
    <w:rsid w:val="43022A61"/>
    <w:rsid w:val="43091CEE"/>
    <w:rsid w:val="43156B79"/>
    <w:rsid w:val="43220B7F"/>
    <w:rsid w:val="43272941"/>
    <w:rsid w:val="432966D0"/>
    <w:rsid w:val="432E20A4"/>
    <w:rsid w:val="4336094C"/>
    <w:rsid w:val="433A3A5A"/>
    <w:rsid w:val="433C4CFD"/>
    <w:rsid w:val="434636D0"/>
    <w:rsid w:val="4350115B"/>
    <w:rsid w:val="435176FE"/>
    <w:rsid w:val="43576AD2"/>
    <w:rsid w:val="43654AA2"/>
    <w:rsid w:val="43AE5495"/>
    <w:rsid w:val="43C23C43"/>
    <w:rsid w:val="43D614EC"/>
    <w:rsid w:val="43D97363"/>
    <w:rsid w:val="43E644E9"/>
    <w:rsid w:val="43ED1A74"/>
    <w:rsid w:val="43F57624"/>
    <w:rsid w:val="440134DA"/>
    <w:rsid w:val="44015E2D"/>
    <w:rsid w:val="44244D2E"/>
    <w:rsid w:val="4426495C"/>
    <w:rsid w:val="443D69C3"/>
    <w:rsid w:val="445E0622"/>
    <w:rsid w:val="445E6062"/>
    <w:rsid w:val="44601891"/>
    <w:rsid w:val="446631C8"/>
    <w:rsid w:val="446C5630"/>
    <w:rsid w:val="446E6949"/>
    <w:rsid w:val="446F7930"/>
    <w:rsid w:val="447204CB"/>
    <w:rsid w:val="44A829DC"/>
    <w:rsid w:val="44C81C72"/>
    <w:rsid w:val="44CD01C2"/>
    <w:rsid w:val="44CF7E21"/>
    <w:rsid w:val="44DA69C3"/>
    <w:rsid w:val="44DE518F"/>
    <w:rsid w:val="44E40071"/>
    <w:rsid w:val="44EB48A7"/>
    <w:rsid w:val="44EE609D"/>
    <w:rsid w:val="44F10CFF"/>
    <w:rsid w:val="44FD0598"/>
    <w:rsid w:val="44FF093C"/>
    <w:rsid w:val="45192E44"/>
    <w:rsid w:val="4532344D"/>
    <w:rsid w:val="45350ED0"/>
    <w:rsid w:val="453A4223"/>
    <w:rsid w:val="453C1474"/>
    <w:rsid w:val="453C66A3"/>
    <w:rsid w:val="453D73F4"/>
    <w:rsid w:val="453F11FE"/>
    <w:rsid w:val="457A3F89"/>
    <w:rsid w:val="457B3AE9"/>
    <w:rsid w:val="457B71A9"/>
    <w:rsid w:val="45901740"/>
    <w:rsid w:val="4597068E"/>
    <w:rsid w:val="459C5106"/>
    <w:rsid w:val="45A81D8E"/>
    <w:rsid w:val="45AB3DFD"/>
    <w:rsid w:val="45B345E4"/>
    <w:rsid w:val="45B43204"/>
    <w:rsid w:val="45BB152C"/>
    <w:rsid w:val="45D07A38"/>
    <w:rsid w:val="45DA32A2"/>
    <w:rsid w:val="45DF5B75"/>
    <w:rsid w:val="45E50156"/>
    <w:rsid w:val="45EE2B95"/>
    <w:rsid w:val="45F557AE"/>
    <w:rsid w:val="45FE09DC"/>
    <w:rsid w:val="4600099D"/>
    <w:rsid w:val="460F35DA"/>
    <w:rsid w:val="461F3743"/>
    <w:rsid w:val="462F24B8"/>
    <w:rsid w:val="46320083"/>
    <w:rsid w:val="463C4F09"/>
    <w:rsid w:val="46492E65"/>
    <w:rsid w:val="465377A9"/>
    <w:rsid w:val="46616BA0"/>
    <w:rsid w:val="4665531F"/>
    <w:rsid w:val="467423A7"/>
    <w:rsid w:val="46755F89"/>
    <w:rsid w:val="46756DED"/>
    <w:rsid w:val="46776CD4"/>
    <w:rsid w:val="467944EF"/>
    <w:rsid w:val="46886F35"/>
    <w:rsid w:val="469B4A83"/>
    <w:rsid w:val="46CF4584"/>
    <w:rsid w:val="46D000C1"/>
    <w:rsid w:val="46D455AA"/>
    <w:rsid w:val="46DE3E1D"/>
    <w:rsid w:val="46E422BE"/>
    <w:rsid w:val="46E93AC7"/>
    <w:rsid w:val="46EB44BD"/>
    <w:rsid w:val="46EE10FA"/>
    <w:rsid w:val="46F306D0"/>
    <w:rsid w:val="46FC355C"/>
    <w:rsid w:val="47014B54"/>
    <w:rsid w:val="47086643"/>
    <w:rsid w:val="47267D29"/>
    <w:rsid w:val="474F23E7"/>
    <w:rsid w:val="47557DCA"/>
    <w:rsid w:val="47582E83"/>
    <w:rsid w:val="4760686A"/>
    <w:rsid w:val="476D4D4A"/>
    <w:rsid w:val="47723F88"/>
    <w:rsid w:val="47763FBF"/>
    <w:rsid w:val="47833AD5"/>
    <w:rsid w:val="47904979"/>
    <w:rsid w:val="479073CF"/>
    <w:rsid w:val="479933E5"/>
    <w:rsid w:val="47A10B99"/>
    <w:rsid w:val="47A45C40"/>
    <w:rsid w:val="47A470D3"/>
    <w:rsid w:val="47A83EAB"/>
    <w:rsid w:val="47A9504E"/>
    <w:rsid w:val="47B00878"/>
    <w:rsid w:val="47BA6B35"/>
    <w:rsid w:val="47CD37E3"/>
    <w:rsid w:val="47D6196F"/>
    <w:rsid w:val="47DA540C"/>
    <w:rsid w:val="47E357B7"/>
    <w:rsid w:val="47E90ACC"/>
    <w:rsid w:val="47F25ED6"/>
    <w:rsid w:val="47FE26C9"/>
    <w:rsid w:val="48020B2B"/>
    <w:rsid w:val="48171B28"/>
    <w:rsid w:val="482F0B6E"/>
    <w:rsid w:val="483E06A1"/>
    <w:rsid w:val="484D557D"/>
    <w:rsid w:val="48630BCF"/>
    <w:rsid w:val="486651ED"/>
    <w:rsid w:val="486C0371"/>
    <w:rsid w:val="4877482D"/>
    <w:rsid w:val="487948F7"/>
    <w:rsid w:val="487E3634"/>
    <w:rsid w:val="488072C0"/>
    <w:rsid w:val="4898696B"/>
    <w:rsid w:val="48AC4B85"/>
    <w:rsid w:val="48AD0640"/>
    <w:rsid w:val="48AF0462"/>
    <w:rsid w:val="48C1115C"/>
    <w:rsid w:val="48C657F3"/>
    <w:rsid w:val="48C67133"/>
    <w:rsid w:val="48D55060"/>
    <w:rsid w:val="48EA2C72"/>
    <w:rsid w:val="48EA5F73"/>
    <w:rsid w:val="490D18E7"/>
    <w:rsid w:val="49104B6D"/>
    <w:rsid w:val="49304059"/>
    <w:rsid w:val="493C092F"/>
    <w:rsid w:val="49563BF0"/>
    <w:rsid w:val="496D36BA"/>
    <w:rsid w:val="49753D8F"/>
    <w:rsid w:val="499D7AA1"/>
    <w:rsid w:val="49B833A2"/>
    <w:rsid w:val="49BA5414"/>
    <w:rsid w:val="49D026C2"/>
    <w:rsid w:val="49E13D6A"/>
    <w:rsid w:val="49E56323"/>
    <w:rsid w:val="49EE218C"/>
    <w:rsid w:val="4A04461E"/>
    <w:rsid w:val="4A0956DD"/>
    <w:rsid w:val="4A152C38"/>
    <w:rsid w:val="4A190505"/>
    <w:rsid w:val="4A270CB6"/>
    <w:rsid w:val="4A3A37EC"/>
    <w:rsid w:val="4A4B0D7C"/>
    <w:rsid w:val="4A4B2C39"/>
    <w:rsid w:val="4A5427B7"/>
    <w:rsid w:val="4A83136F"/>
    <w:rsid w:val="4A8B3D53"/>
    <w:rsid w:val="4A9247AA"/>
    <w:rsid w:val="4AA0484E"/>
    <w:rsid w:val="4AA31978"/>
    <w:rsid w:val="4AB45C83"/>
    <w:rsid w:val="4AC5197D"/>
    <w:rsid w:val="4AC77A78"/>
    <w:rsid w:val="4ACC7B4E"/>
    <w:rsid w:val="4ACF5CC3"/>
    <w:rsid w:val="4ADE4198"/>
    <w:rsid w:val="4AEB2959"/>
    <w:rsid w:val="4AEF21F3"/>
    <w:rsid w:val="4B0D7D13"/>
    <w:rsid w:val="4B174229"/>
    <w:rsid w:val="4B3D0885"/>
    <w:rsid w:val="4B43012C"/>
    <w:rsid w:val="4B4C2876"/>
    <w:rsid w:val="4B5B5BFB"/>
    <w:rsid w:val="4B715FAC"/>
    <w:rsid w:val="4B761998"/>
    <w:rsid w:val="4B7D25A0"/>
    <w:rsid w:val="4B8B5F36"/>
    <w:rsid w:val="4B99163E"/>
    <w:rsid w:val="4BA03C6E"/>
    <w:rsid w:val="4BA077A1"/>
    <w:rsid w:val="4BA60433"/>
    <w:rsid w:val="4BA92CB8"/>
    <w:rsid w:val="4BB2193B"/>
    <w:rsid w:val="4BC0549A"/>
    <w:rsid w:val="4BE865D7"/>
    <w:rsid w:val="4BEA5B57"/>
    <w:rsid w:val="4BF014CC"/>
    <w:rsid w:val="4BFB48D5"/>
    <w:rsid w:val="4BFD200B"/>
    <w:rsid w:val="4C026ED6"/>
    <w:rsid w:val="4C121E8A"/>
    <w:rsid w:val="4C213268"/>
    <w:rsid w:val="4C274E56"/>
    <w:rsid w:val="4C352378"/>
    <w:rsid w:val="4C3D7792"/>
    <w:rsid w:val="4C544166"/>
    <w:rsid w:val="4C5766C9"/>
    <w:rsid w:val="4C5F282D"/>
    <w:rsid w:val="4C6F04FE"/>
    <w:rsid w:val="4C85185D"/>
    <w:rsid w:val="4C89181E"/>
    <w:rsid w:val="4C8E7DC1"/>
    <w:rsid w:val="4C954A68"/>
    <w:rsid w:val="4C9F00C9"/>
    <w:rsid w:val="4CAD4C5E"/>
    <w:rsid w:val="4CB33CA1"/>
    <w:rsid w:val="4CBD35D8"/>
    <w:rsid w:val="4CD36490"/>
    <w:rsid w:val="4CDB7656"/>
    <w:rsid w:val="4CDF471B"/>
    <w:rsid w:val="4CE012F9"/>
    <w:rsid w:val="4CE8733A"/>
    <w:rsid w:val="4CEA5EF5"/>
    <w:rsid w:val="4CEC6514"/>
    <w:rsid w:val="4CEC703A"/>
    <w:rsid w:val="4D021A2E"/>
    <w:rsid w:val="4D076A8A"/>
    <w:rsid w:val="4D136654"/>
    <w:rsid w:val="4D18028C"/>
    <w:rsid w:val="4D22449C"/>
    <w:rsid w:val="4D257367"/>
    <w:rsid w:val="4D480138"/>
    <w:rsid w:val="4D56716E"/>
    <w:rsid w:val="4D57313C"/>
    <w:rsid w:val="4D592393"/>
    <w:rsid w:val="4D6133EB"/>
    <w:rsid w:val="4D620E36"/>
    <w:rsid w:val="4D76326B"/>
    <w:rsid w:val="4D7732FD"/>
    <w:rsid w:val="4D7A20DF"/>
    <w:rsid w:val="4D7E2C46"/>
    <w:rsid w:val="4D926FF8"/>
    <w:rsid w:val="4D937E82"/>
    <w:rsid w:val="4DA42009"/>
    <w:rsid w:val="4DA47096"/>
    <w:rsid w:val="4DB656B2"/>
    <w:rsid w:val="4DBC45ED"/>
    <w:rsid w:val="4DC81EF4"/>
    <w:rsid w:val="4DE52881"/>
    <w:rsid w:val="4DED23C4"/>
    <w:rsid w:val="4DED49DA"/>
    <w:rsid w:val="4DF2790D"/>
    <w:rsid w:val="4DFA728C"/>
    <w:rsid w:val="4DFD52B3"/>
    <w:rsid w:val="4E015A19"/>
    <w:rsid w:val="4E122468"/>
    <w:rsid w:val="4E1D1C34"/>
    <w:rsid w:val="4E302696"/>
    <w:rsid w:val="4E340401"/>
    <w:rsid w:val="4E36039E"/>
    <w:rsid w:val="4E3B1B2B"/>
    <w:rsid w:val="4E3B4D5A"/>
    <w:rsid w:val="4E400EEF"/>
    <w:rsid w:val="4E42310F"/>
    <w:rsid w:val="4E630340"/>
    <w:rsid w:val="4E66332D"/>
    <w:rsid w:val="4E670E15"/>
    <w:rsid w:val="4E7E14A0"/>
    <w:rsid w:val="4E7F70D0"/>
    <w:rsid w:val="4E807848"/>
    <w:rsid w:val="4E8A006A"/>
    <w:rsid w:val="4E8A13FF"/>
    <w:rsid w:val="4E965D1C"/>
    <w:rsid w:val="4EA56473"/>
    <w:rsid w:val="4EB01559"/>
    <w:rsid w:val="4EB62966"/>
    <w:rsid w:val="4EBC3D25"/>
    <w:rsid w:val="4EC61B54"/>
    <w:rsid w:val="4EEA337E"/>
    <w:rsid w:val="4EFF20E7"/>
    <w:rsid w:val="4EFF4054"/>
    <w:rsid w:val="4F016FE5"/>
    <w:rsid w:val="4F1D765B"/>
    <w:rsid w:val="4F257041"/>
    <w:rsid w:val="4F2B2E12"/>
    <w:rsid w:val="4F326C42"/>
    <w:rsid w:val="4F3632BE"/>
    <w:rsid w:val="4F4D346E"/>
    <w:rsid w:val="4F50740C"/>
    <w:rsid w:val="4F5103FA"/>
    <w:rsid w:val="4F511121"/>
    <w:rsid w:val="4F545534"/>
    <w:rsid w:val="4F7F29B4"/>
    <w:rsid w:val="4F7F5B54"/>
    <w:rsid w:val="4F8C6B6C"/>
    <w:rsid w:val="4F92323B"/>
    <w:rsid w:val="4F950CFE"/>
    <w:rsid w:val="4FB82079"/>
    <w:rsid w:val="4FBD5E48"/>
    <w:rsid w:val="4FBD66D6"/>
    <w:rsid w:val="4FC72F32"/>
    <w:rsid w:val="4FC7713B"/>
    <w:rsid w:val="4FD659F4"/>
    <w:rsid w:val="4FDC70FF"/>
    <w:rsid w:val="4FE226D5"/>
    <w:rsid w:val="50055358"/>
    <w:rsid w:val="500C29C8"/>
    <w:rsid w:val="50164291"/>
    <w:rsid w:val="501F7B40"/>
    <w:rsid w:val="50236562"/>
    <w:rsid w:val="50293355"/>
    <w:rsid w:val="50396A2F"/>
    <w:rsid w:val="50423F67"/>
    <w:rsid w:val="504823A2"/>
    <w:rsid w:val="504F3C6B"/>
    <w:rsid w:val="505B4D29"/>
    <w:rsid w:val="505E2F0C"/>
    <w:rsid w:val="50634E4A"/>
    <w:rsid w:val="50653C8E"/>
    <w:rsid w:val="50726AE7"/>
    <w:rsid w:val="50746940"/>
    <w:rsid w:val="50752C2F"/>
    <w:rsid w:val="508E3220"/>
    <w:rsid w:val="50901208"/>
    <w:rsid w:val="509B6B6E"/>
    <w:rsid w:val="50B07915"/>
    <w:rsid w:val="50C70224"/>
    <w:rsid w:val="50C86D9B"/>
    <w:rsid w:val="50CB24C3"/>
    <w:rsid w:val="50CD0CEB"/>
    <w:rsid w:val="50CE04FF"/>
    <w:rsid w:val="50CF3D2E"/>
    <w:rsid w:val="50DD1734"/>
    <w:rsid w:val="50DF2317"/>
    <w:rsid w:val="50E03C6E"/>
    <w:rsid w:val="50E53551"/>
    <w:rsid w:val="50E720C7"/>
    <w:rsid w:val="50EF0E0A"/>
    <w:rsid w:val="510752AF"/>
    <w:rsid w:val="51200241"/>
    <w:rsid w:val="51285036"/>
    <w:rsid w:val="51305500"/>
    <w:rsid w:val="51410132"/>
    <w:rsid w:val="51583816"/>
    <w:rsid w:val="517039E3"/>
    <w:rsid w:val="51712313"/>
    <w:rsid w:val="517459B0"/>
    <w:rsid w:val="517B7B79"/>
    <w:rsid w:val="518106B3"/>
    <w:rsid w:val="519F6E89"/>
    <w:rsid w:val="51B10B82"/>
    <w:rsid w:val="51C50222"/>
    <w:rsid w:val="51C7750A"/>
    <w:rsid w:val="51DF05D8"/>
    <w:rsid w:val="51E465A7"/>
    <w:rsid w:val="51F53992"/>
    <w:rsid w:val="51FA6879"/>
    <w:rsid w:val="520B13E3"/>
    <w:rsid w:val="52156187"/>
    <w:rsid w:val="522C2C5D"/>
    <w:rsid w:val="524B7790"/>
    <w:rsid w:val="524D5DDA"/>
    <w:rsid w:val="524E6825"/>
    <w:rsid w:val="525C3A36"/>
    <w:rsid w:val="52654F21"/>
    <w:rsid w:val="52780FDE"/>
    <w:rsid w:val="52781352"/>
    <w:rsid w:val="528552E4"/>
    <w:rsid w:val="52B508CE"/>
    <w:rsid w:val="52BD04BD"/>
    <w:rsid w:val="52C04906"/>
    <w:rsid w:val="52C9528C"/>
    <w:rsid w:val="52CA3233"/>
    <w:rsid w:val="52CB1D32"/>
    <w:rsid w:val="52D74DF5"/>
    <w:rsid w:val="52E856F0"/>
    <w:rsid w:val="52EE4D6A"/>
    <w:rsid w:val="52F06E87"/>
    <w:rsid w:val="52FB618A"/>
    <w:rsid w:val="531526DC"/>
    <w:rsid w:val="5324009D"/>
    <w:rsid w:val="53242193"/>
    <w:rsid w:val="532976FA"/>
    <w:rsid w:val="533A1B9B"/>
    <w:rsid w:val="534A60CB"/>
    <w:rsid w:val="535D3A38"/>
    <w:rsid w:val="535E028D"/>
    <w:rsid w:val="535E5DE6"/>
    <w:rsid w:val="536518E0"/>
    <w:rsid w:val="53657B2A"/>
    <w:rsid w:val="537246ED"/>
    <w:rsid w:val="538E4BC8"/>
    <w:rsid w:val="53B24089"/>
    <w:rsid w:val="53B55F6E"/>
    <w:rsid w:val="53C118AA"/>
    <w:rsid w:val="53C66EDC"/>
    <w:rsid w:val="53D829CB"/>
    <w:rsid w:val="53DD7F26"/>
    <w:rsid w:val="53E32D90"/>
    <w:rsid w:val="53EA027C"/>
    <w:rsid w:val="53EC56CA"/>
    <w:rsid w:val="53EC6AC6"/>
    <w:rsid w:val="53F43F4B"/>
    <w:rsid w:val="53FF3A24"/>
    <w:rsid w:val="54055868"/>
    <w:rsid w:val="541105EA"/>
    <w:rsid w:val="5417062A"/>
    <w:rsid w:val="541F212D"/>
    <w:rsid w:val="54420174"/>
    <w:rsid w:val="5447610E"/>
    <w:rsid w:val="54480123"/>
    <w:rsid w:val="544830F6"/>
    <w:rsid w:val="544F6A3E"/>
    <w:rsid w:val="5461610E"/>
    <w:rsid w:val="54662A00"/>
    <w:rsid w:val="54810090"/>
    <w:rsid w:val="54833FF1"/>
    <w:rsid w:val="54980C95"/>
    <w:rsid w:val="549D3EDA"/>
    <w:rsid w:val="54E725D7"/>
    <w:rsid w:val="54F16222"/>
    <w:rsid w:val="54F246DF"/>
    <w:rsid w:val="54FB1595"/>
    <w:rsid w:val="54FD01AC"/>
    <w:rsid w:val="55140E90"/>
    <w:rsid w:val="551A050E"/>
    <w:rsid w:val="552025D5"/>
    <w:rsid w:val="552A1993"/>
    <w:rsid w:val="553A38CD"/>
    <w:rsid w:val="55453DD9"/>
    <w:rsid w:val="55466E62"/>
    <w:rsid w:val="55490AD3"/>
    <w:rsid w:val="55694B57"/>
    <w:rsid w:val="558623B1"/>
    <w:rsid w:val="55B11DDE"/>
    <w:rsid w:val="55BA172E"/>
    <w:rsid w:val="55BA762C"/>
    <w:rsid w:val="56071608"/>
    <w:rsid w:val="560C1580"/>
    <w:rsid w:val="56170B9E"/>
    <w:rsid w:val="56175047"/>
    <w:rsid w:val="56231B6C"/>
    <w:rsid w:val="56313EED"/>
    <w:rsid w:val="56381A2B"/>
    <w:rsid w:val="563E45B7"/>
    <w:rsid w:val="565B2381"/>
    <w:rsid w:val="5676616B"/>
    <w:rsid w:val="567D3F60"/>
    <w:rsid w:val="56802284"/>
    <w:rsid w:val="569B6925"/>
    <w:rsid w:val="56A405E1"/>
    <w:rsid w:val="56A81315"/>
    <w:rsid w:val="56AF6AAA"/>
    <w:rsid w:val="56B30CE3"/>
    <w:rsid w:val="56CF66FB"/>
    <w:rsid w:val="56D6392A"/>
    <w:rsid w:val="56DC7FF6"/>
    <w:rsid w:val="570C3144"/>
    <w:rsid w:val="570F0FAA"/>
    <w:rsid w:val="5710345C"/>
    <w:rsid w:val="5714604E"/>
    <w:rsid w:val="57194E75"/>
    <w:rsid w:val="572A21FB"/>
    <w:rsid w:val="5737282E"/>
    <w:rsid w:val="57492D31"/>
    <w:rsid w:val="574A6098"/>
    <w:rsid w:val="5754756D"/>
    <w:rsid w:val="57610048"/>
    <w:rsid w:val="576248D8"/>
    <w:rsid w:val="57644254"/>
    <w:rsid w:val="5792652B"/>
    <w:rsid w:val="57943FBD"/>
    <w:rsid w:val="57953DC6"/>
    <w:rsid w:val="57AF6526"/>
    <w:rsid w:val="57B70667"/>
    <w:rsid w:val="57BB0DFB"/>
    <w:rsid w:val="57C90FC9"/>
    <w:rsid w:val="57DD4747"/>
    <w:rsid w:val="57F93FE2"/>
    <w:rsid w:val="580A6E57"/>
    <w:rsid w:val="582852E4"/>
    <w:rsid w:val="58355870"/>
    <w:rsid w:val="58435469"/>
    <w:rsid w:val="586676CF"/>
    <w:rsid w:val="587133A9"/>
    <w:rsid w:val="58830F86"/>
    <w:rsid w:val="588C7A6F"/>
    <w:rsid w:val="58936877"/>
    <w:rsid w:val="589A4209"/>
    <w:rsid w:val="589B2EB6"/>
    <w:rsid w:val="589F0489"/>
    <w:rsid w:val="58A0448F"/>
    <w:rsid w:val="58AA21D9"/>
    <w:rsid w:val="58B46980"/>
    <w:rsid w:val="58B61F4E"/>
    <w:rsid w:val="58B62931"/>
    <w:rsid w:val="58BB1B02"/>
    <w:rsid w:val="58BB2CEF"/>
    <w:rsid w:val="58BD00DF"/>
    <w:rsid w:val="58BE3E73"/>
    <w:rsid w:val="58C7166A"/>
    <w:rsid w:val="58D435D0"/>
    <w:rsid w:val="58D87666"/>
    <w:rsid w:val="58DD63A5"/>
    <w:rsid w:val="58E56E25"/>
    <w:rsid w:val="58F21491"/>
    <w:rsid w:val="58FC3E5D"/>
    <w:rsid w:val="58FF1862"/>
    <w:rsid w:val="5903555F"/>
    <w:rsid w:val="59124DE8"/>
    <w:rsid w:val="591A7E3E"/>
    <w:rsid w:val="591D17B0"/>
    <w:rsid w:val="591E490F"/>
    <w:rsid w:val="59207E2E"/>
    <w:rsid w:val="59316E2D"/>
    <w:rsid w:val="595F69B0"/>
    <w:rsid w:val="59606747"/>
    <w:rsid w:val="59620781"/>
    <w:rsid w:val="59685D78"/>
    <w:rsid w:val="59752B0C"/>
    <w:rsid w:val="59755E43"/>
    <w:rsid w:val="59805339"/>
    <w:rsid w:val="59891F99"/>
    <w:rsid w:val="598B4155"/>
    <w:rsid w:val="59911A60"/>
    <w:rsid w:val="599F69B9"/>
    <w:rsid w:val="59B32110"/>
    <w:rsid w:val="59CC1E60"/>
    <w:rsid w:val="59D76475"/>
    <w:rsid w:val="59E95EB8"/>
    <w:rsid w:val="5A0650CF"/>
    <w:rsid w:val="5A0C4506"/>
    <w:rsid w:val="5A0F56F5"/>
    <w:rsid w:val="5A205081"/>
    <w:rsid w:val="5A2E1C12"/>
    <w:rsid w:val="5A35549B"/>
    <w:rsid w:val="5A407469"/>
    <w:rsid w:val="5A4341BA"/>
    <w:rsid w:val="5A4818C8"/>
    <w:rsid w:val="5A515104"/>
    <w:rsid w:val="5A600E0C"/>
    <w:rsid w:val="5A645EEC"/>
    <w:rsid w:val="5A6B5272"/>
    <w:rsid w:val="5A6F4FD6"/>
    <w:rsid w:val="5A716F67"/>
    <w:rsid w:val="5A767A79"/>
    <w:rsid w:val="5A7773AC"/>
    <w:rsid w:val="5A7A045F"/>
    <w:rsid w:val="5A8175CB"/>
    <w:rsid w:val="5A84736C"/>
    <w:rsid w:val="5A850CDA"/>
    <w:rsid w:val="5A9C623B"/>
    <w:rsid w:val="5AAD10B3"/>
    <w:rsid w:val="5AB33525"/>
    <w:rsid w:val="5AFE07F2"/>
    <w:rsid w:val="5B0C3355"/>
    <w:rsid w:val="5B0D0B17"/>
    <w:rsid w:val="5B1769FD"/>
    <w:rsid w:val="5B27739E"/>
    <w:rsid w:val="5B281193"/>
    <w:rsid w:val="5B2908B1"/>
    <w:rsid w:val="5B34012D"/>
    <w:rsid w:val="5B43111E"/>
    <w:rsid w:val="5B4A2027"/>
    <w:rsid w:val="5B4C32B3"/>
    <w:rsid w:val="5B572133"/>
    <w:rsid w:val="5B5E47F5"/>
    <w:rsid w:val="5B606856"/>
    <w:rsid w:val="5B714D26"/>
    <w:rsid w:val="5B823D37"/>
    <w:rsid w:val="5B83398C"/>
    <w:rsid w:val="5B8E721C"/>
    <w:rsid w:val="5B9B2E22"/>
    <w:rsid w:val="5BAA39FE"/>
    <w:rsid w:val="5BAF43D6"/>
    <w:rsid w:val="5BDB7A2A"/>
    <w:rsid w:val="5C046F56"/>
    <w:rsid w:val="5C074B2C"/>
    <w:rsid w:val="5C176CA3"/>
    <w:rsid w:val="5C272EEC"/>
    <w:rsid w:val="5C3141A0"/>
    <w:rsid w:val="5C3E18C2"/>
    <w:rsid w:val="5C463802"/>
    <w:rsid w:val="5C531011"/>
    <w:rsid w:val="5C560CAC"/>
    <w:rsid w:val="5C5865CB"/>
    <w:rsid w:val="5C63568C"/>
    <w:rsid w:val="5C7127D5"/>
    <w:rsid w:val="5C720CAA"/>
    <w:rsid w:val="5C73080F"/>
    <w:rsid w:val="5C9D71BA"/>
    <w:rsid w:val="5CA33586"/>
    <w:rsid w:val="5CA613C0"/>
    <w:rsid w:val="5CB001AB"/>
    <w:rsid w:val="5CC5410A"/>
    <w:rsid w:val="5CC5515B"/>
    <w:rsid w:val="5CD82207"/>
    <w:rsid w:val="5CDF7245"/>
    <w:rsid w:val="5CFB7A99"/>
    <w:rsid w:val="5D035EA0"/>
    <w:rsid w:val="5D1713D4"/>
    <w:rsid w:val="5D3E30FD"/>
    <w:rsid w:val="5D3F7B7B"/>
    <w:rsid w:val="5D4B373F"/>
    <w:rsid w:val="5D4F6E39"/>
    <w:rsid w:val="5D647EF4"/>
    <w:rsid w:val="5D690AC4"/>
    <w:rsid w:val="5D6B5A5E"/>
    <w:rsid w:val="5D806519"/>
    <w:rsid w:val="5D815FBA"/>
    <w:rsid w:val="5D973874"/>
    <w:rsid w:val="5DA872AE"/>
    <w:rsid w:val="5DA9177C"/>
    <w:rsid w:val="5DAB2E39"/>
    <w:rsid w:val="5DB768DB"/>
    <w:rsid w:val="5DC23238"/>
    <w:rsid w:val="5DC854C6"/>
    <w:rsid w:val="5DD124FE"/>
    <w:rsid w:val="5DD70A7A"/>
    <w:rsid w:val="5DE276EA"/>
    <w:rsid w:val="5DE6285A"/>
    <w:rsid w:val="5DF62EA9"/>
    <w:rsid w:val="5E0610AE"/>
    <w:rsid w:val="5E0947FB"/>
    <w:rsid w:val="5E2139C6"/>
    <w:rsid w:val="5E493DFD"/>
    <w:rsid w:val="5E4D4684"/>
    <w:rsid w:val="5E5E3507"/>
    <w:rsid w:val="5E6148B0"/>
    <w:rsid w:val="5E62004A"/>
    <w:rsid w:val="5E6609AF"/>
    <w:rsid w:val="5E672A1F"/>
    <w:rsid w:val="5E687D06"/>
    <w:rsid w:val="5E6D1EF9"/>
    <w:rsid w:val="5E753F44"/>
    <w:rsid w:val="5E8C4E06"/>
    <w:rsid w:val="5E8F6449"/>
    <w:rsid w:val="5E911F44"/>
    <w:rsid w:val="5E91597C"/>
    <w:rsid w:val="5EA90871"/>
    <w:rsid w:val="5EDF618C"/>
    <w:rsid w:val="5EE3414B"/>
    <w:rsid w:val="5EF07797"/>
    <w:rsid w:val="5EF65ECD"/>
    <w:rsid w:val="5EF723FF"/>
    <w:rsid w:val="5EF81330"/>
    <w:rsid w:val="5EFC20B3"/>
    <w:rsid w:val="5F0100AF"/>
    <w:rsid w:val="5F053010"/>
    <w:rsid w:val="5F141CB5"/>
    <w:rsid w:val="5F145DEE"/>
    <w:rsid w:val="5F5458EB"/>
    <w:rsid w:val="5F5A4056"/>
    <w:rsid w:val="5F5C225A"/>
    <w:rsid w:val="5F5F6BC4"/>
    <w:rsid w:val="5F6A1E8D"/>
    <w:rsid w:val="5F6E0BB6"/>
    <w:rsid w:val="5F724CD6"/>
    <w:rsid w:val="5F791A0F"/>
    <w:rsid w:val="5F795309"/>
    <w:rsid w:val="5F7C00C5"/>
    <w:rsid w:val="5F90624D"/>
    <w:rsid w:val="5F910BE2"/>
    <w:rsid w:val="5FAA3AFF"/>
    <w:rsid w:val="5FAA5029"/>
    <w:rsid w:val="5FB473EB"/>
    <w:rsid w:val="5FBD0E72"/>
    <w:rsid w:val="5FC8406E"/>
    <w:rsid w:val="5FD52C11"/>
    <w:rsid w:val="5FDB776A"/>
    <w:rsid w:val="5FEB236A"/>
    <w:rsid w:val="5FEF04C3"/>
    <w:rsid w:val="6010617A"/>
    <w:rsid w:val="60326087"/>
    <w:rsid w:val="60364F19"/>
    <w:rsid w:val="60470412"/>
    <w:rsid w:val="604865F8"/>
    <w:rsid w:val="604E5AC9"/>
    <w:rsid w:val="6051377B"/>
    <w:rsid w:val="6053261B"/>
    <w:rsid w:val="60641A95"/>
    <w:rsid w:val="607F3E41"/>
    <w:rsid w:val="608D7586"/>
    <w:rsid w:val="60907BC3"/>
    <w:rsid w:val="6094395C"/>
    <w:rsid w:val="60AB7A00"/>
    <w:rsid w:val="60C1321A"/>
    <w:rsid w:val="60C26E50"/>
    <w:rsid w:val="60C568F5"/>
    <w:rsid w:val="60C840B6"/>
    <w:rsid w:val="60D93467"/>
    <w:rsid w:val="60DA3431"/>
    <w:rsid w:val="60DC2D50"/>
    <w:rsid w:val="60DD4216"/>
    <w:rsid w:val="60E9528C"/>
    <w:rsid w:val="60EC3390"/>
    <w:rsid w:val="61117719"/>
    <w:rsid w:val="6113766F"/>
    <w:rsid w:val="6119535B"/>
    <w:rsid w:val="61256D26"/>
    <w:rsid w:val="6126426A"/>
    <w:rsid w:val="61320599"/>
    <w:rsid w:val="613D7883"/>
    <w:rsid w:val="614E4A12"/>
    <w:rsid w:val="615A0E69"/>
    <w:rsid w:val="615D2C4A"/>
    <w:rsid w:val="61925E90"/>
    <w:rsid w:val="619B67ED"/>
    <w:rsid w:val="61B23758"/>
    <w:rsid w:val="61B520CB"/>
    <w:rsid w:val="61B7475E"/>
    <w:rsid w:val="61B85363"/>
    <w:rsid w:val="61C75328"/>
    <w:rsid w:val="61C976FF"/>
    <w:rsid w:val="61CA264B"/>
    <w:rsid w:val="61D70DFC"/>
    <w:rsid w:val="61D9680D"/>
    <w:rsid w:val="61E4151D"/>
    <w:rsid w:val="61E5122B"/>
    <w:rsid w:val="61EB0147"/>
    <w:rsid w:val="61EE593F"/>
    <w:rsid w:val="61FE3558"/>
    <w:rsid w:val="62021A60"/>
    <w:rsid w:val="62122BED"/>
    <w:rsid w:val="623A2E38"/>
    <w:rsid w:val="623A6FFE"/>
    <w:rsid w:val="62606CEA"/>
    <w:rsid w:val="62640F9B"/>
    <w:rsid w:val="62751A14"/>
    <w:rsid w:val="627667D9"/>
    <w:rsid w:val="627F06AD"/>
    <w:rsid w:val="62800BBC"/>
    <w:rsid w:val="62810C98"/>
    <w:rsid w:val="62864B78"/>
    <w:rsid w:val="62B367AF"/>
    <w:rsid w:val="62C226EC"/>
    <w:rsid w:val="62C6071F"/>
    <w:rsid w:val="62C66431"/>
    <w:rsid w:val="62CE4776"/>
    <w:rsid w:val="62D02444"/>
    <w:rsid w:val="62DD126D"/>
    <w:rsid w:val="62E24CA7"/>
    <w:rsid w:val="630825B2"/>
    <w:rsid w:val="630E6937"/>
    <w:rsid w:val="63121564"/>
    <w:rsid w:val="63135C09"/>
    <w:rsid w:val="631C6332"/>
    <w:rsid w:val="632E1496"/>
    <w:rsid w:val="63352116"/>
    <w:rsid w:val="633D24B0"/>
    <w:rsid w:val="634419C1"/>
    <w:rsid w:val="63441D44"/>
    <w:rsid w:val="635B7AF6"/>
    <w:rsid w:val="6360113A"/>
    <w:rsid w:val="636257C3"/>
    <w:rsid w:val="6362624B"/>
    <w:rsid w:val="636722C4"/>
    <w:rsid w:val="637067B4"/>
    <w:rsid w:val="639F1FDE"/>
    <w:rsid w:val="63B079EF"/>
    <w:rsid w:val="63B1555D"/>
    <w:rsid w:val="63B6017E"/>
    <w:rsid w:val="63B81766"/>
    <w:rsid w:val="63C0171D"/>
    <w:rsid w:val="63CA7CD5"/>
    <w:rsid w:val="63CB4836"/>
    <w:rsid w:val="63CD5CA1"/>
    <w:rsid w:val="63D03DB5"/>
    <w:rsid w:val="63D8600F"/>
    <w:rsid w:val="63DF56C4"/>
    <w:rsid w:val="63EC07C2"/>
    <w:rsid w:val="63F03F8D"/>
    <w:rsid w:val="64096C1E"/>
    <w:rsid w:val="64162DFC"/>
    <w:rsid w:val="641F3A19"/>
    <w:rsid w:val="64245231"/>
    <w:rsid w:val="642F579B"/>
    <w:rsid w:val="64316F73"/>
    <w:rsid w:val="64343052"/>
    <w:rsid w:val="64365AB5"/>
    <w:rsid w:val="64377C2D"/>
    <w:rsid w:val="643C05A6"/>
    <w:rsid w:val="644B60ED"/>
    <w:rsid w:val="64563127"/>
    <w:rsid w:val="64612DEF"/>
    <w:rsid w:val="64613BD1"/>
    <w:rsid w:val="64637041"/>
    <w:rsid w:val="647B1409"/>
    <w:rsid w:val="647F16F8"/>
    <w:rsid w:val="648316DB"/>
    <w:rsid w:val="648D1D82"/>
    <w:rsid w:val="64A5650A"/>
    <w:rsid w:val="64C631CE"/>
    <w:rsid w:val="64DD69E7"/>
    <w:rsid w:val="64E15641"/>
    <w:rsid w:val="65003392"/>
    <w:rsid w:val="65014455"/>
    <w:rsid w:val="65016575"/>
    <w:rsid w:val="65281DD3"/>
    <w:rsid w:val="6535528C"/>
    <w:rsid w:val="653E0CBE"/>
    <w:rsid w:val="654074CA"/>
    <w:rsid w:val="654416AF"/>
    <w:rsid w:val="654B053C"/>
    <w:rsid w:val="65526757"/>
    <w:rsid w:val="65602C75"/>
    <w:rsid w:val="656266DB"/>
    <w:rsid w:val="65A45615"/>
    <w:rsid w:val="65A56185"/>
    <w:rsid w:val="65A60389"/>
    <w:rsid w:val="65A6675E"/>
    <w:rsid w:val="65A6692F"/>
    <w:rsid w:val="65E05465"/>
    <w:rsid w:val="65E840DD"/>
    <w:rsid w:val="65EE2E35"/>
    <w:rsid w:val="660967DC"/>
    <w:rsid w:val="660C5B17"/>
    <w:rsid w:val="6613149F"/>
    <w:rsid w:val="6620106A"/>
    <w:rsid w:val="662C3B8C"/>
    <w:rsid w:val="66366448"/>
    <w:rsid w:val="664438B4"/>
    <w:rsid w:val="665D2780"/>
    <w:rsid w:val="665F653E"/>
    <w:rsid w:val="66683320"/>
    <w:rsid w:val="666F1DE3"/>
    <w:rsid w:val="66880D76"/>
    <w:rsid w:val="668B039B"/>
    <w:rsid w:val="669374CF"/>
    <w:rsid w:val="66981A45"/>
    <w:rsid w:val="669C4120"/>
    <w:rsid w:val="66A8679E"/>
    <w:rsid w:val="66CB12ED"/>
    <w:rsid w:val="66DF32CF"/>
    <w:rsid w:val="66E03E96"/>
    <w:rsid w:val="66E401B8"/>
    <w:rsid w:val="66EA30A1"/>
    <w:rsid w:val="66F8249E"/>
    <w:rsid w:val="67067AB5"/>
    <w:rsid w:val="67084D16"/>
    <w:rsid w:val="670E3638"/>
    <w:rsid w:val="672B7E52"/>
    <w:rsid w:val="672D4F56"/>
    <w:rsid w:val="67371FE2"/>
    <w:rsid w:val="67385E4C"/>
    <w:rsid w:val="675B463A"/>
    <w:rsid w:val="676705B3"/>
    <w:rsid w:val="67714BCC"/>
    <w:rsid w:val="67762842"/>
    <w:rsid w:val="678A2BAE"/>
    <w:rsid w:val="6796142E"/>
    <w:rsid w:val="679F36E9"/>
    <w:rsid w:val="67B53825"/>
    <w:rsid w:val="67B76ECC"/>
    <w:rsid w:val="67C279C8"/>
    <w:rsid w:val="67C51A7D"/>
    <w:rsid w:val="67D43165"/>
    <w:rsid w:val="67E84832"/>
    <w:rsid w:val="67FB19F2"/>
    <w:rsid w:val="68076CE6"/>
    <w:rsid w:val="680D45C4"/>
    <w:rsid w:val="681A1C02"/>
    <w:rsid w:val="681A706F"/>
    <w:rsid w:val="681B5200"/>
    <w:rsid w:val="682008D2"/>
    <w:rsid w:val="682829FF"/>
    <w:rsid w:val="6848203A"/>
    <w:rsid w:val="685D5516"/>
    <w:rsid w:val="68644E62"/>
    <w:rsid w:val="68656552"/>
    <w:rsid w:val="68707848"/>
    <w:rsid w:val="689133B7"/>
    <w:rsid w:val="689A53DC"/>
    <w:rsid w:val="68A17E46"/>
    <w:rsid w:val="68C11DA4"/>
    <w:rsid w:val="68C52952"/>
    <w:rsid w:val="68D74805"/>
    <w:rsid w:val="68DB3760"/>
    <w:rsid w:val="68E71AC4"/>
    <w:rsid w:val="68E97798"/>
    <w:rsid w:val="68EC30F4"/>
    <w:rsid w:val="68F02282"/>
    <w:rsid w:val="68F2368A"/>
    <w:rsid w:val="68F25B3B"/>
    <w:rsid w:val="68FC7CF8"/>
    <w:rsid w:val="690470DA"/>
    <w:rsid w:val="69100C7E"/>
    <w:rsid w:val="691809A3"/>
    <w:rsid w:val="69224D72"/>
    <w:rsid w:val="69305CA8"/>
    <w:rsid w:val="693724E0"/>
    <w:rsid w:val="69374B66"/>
    <w:rsid w:val="69397820"/>
    <w:rsid w:val="694721E0"/>
    <w:rsid w:val="694D0BC8"/>
    <w:rsid w:val="6951757E"/>
    <w:rsid w:val="695F1796"/>
    <w:rsid w:val="69692119"/>
    <w:rsid w:val="697362CF"/>
    <w:rsid w:val="697B0421"/>
    <w:rsid w:val="6984522A"/>
    <w:rsid w:val="69976B67"/>
    <w:rsid w:val="69A139C2"/>
    <w:rsid w:val="69BD01E4"/>
    <w:rsid w:val="69BD059B"/>
    <w:rsid w:val="69CB325A"/>
    <w:rsid w:val="69D27AF5"/>
    <w:rsid w:val="69D95B74"/>
    <w:rsid w:val="69F22D6E"/>
    <w:rsid w:val="69F407AD"/>
    <w:rsid w:val="69F644CC"/>
    <w:rsid w:val="6A2353BE"/>
    <w:rsid w:val="6A2522E9"/>
    <w:rsid w:val="6A442AF3"/>
    <w:rsid w:val="6A5E7BF5"/>
    <w:rsid w:val="6A734D3D"/>
    <w:rsid w:val="6A7B239A"/>
    <w:rsid w:val="6A823C8D"/>
    <w:rsid w:val="6A942CE9"/>
    <w:rsid w:val="6AA07F09"/>
    <w:rsid w:val="6AA51551"/>
    <w:rsid w:val="6AB2260C"/>
    <w:rsid w:val="6AC04E32"/>
    <w:rsid w:val="6AD2290E"/>
    <w:rsid w:val="6AED5C30"/>
    <w:rsid w:val="6AF92F4D"/>
    <w:rsid w:val="6B0825BF"/>
    <w:rsid w:val="6B0B109C"/>
    <w:rsid w:val="6B104250"/>
    <w:rsid w:val="6B226653"/>
    <w:rsid w:val="6B2E0438"/>
    <w:rsid w:val="6B37184B"/>
    <w:rsid w:val="6B383046"/>
    <w:rsid w:val="6B405E43"/>
    <w:rsid w:val="6B4D0C1B"/>
    <w:rsid w:val="6B601370"/>
    <w:rsid w:val="6B6A1AFF"/>
    <w:rsid w:val="6B6A7F90"/>
    <w:rsid w:val="6B6C14FB"/>
    <w:rsid w:val="6B7A48BB"/>
    <w:rsid w:val="6B7B357B"/>
    <w:rsid w:val="6B7E5C38"/>
    <w:rsid w:val="6B8A7D7E"/>
    <w:rsid w:val="6B8D54C1"/>
    <w:rsid w:val="6B9045C0"/>
    <w:rsid w:val="6BCD142C"/>
    <w:rsid w:val="6BCD7DFF"/>
    <w:rsid w:val="6BCF2A70"/>
    <w:rsid w:val="6BE57DF5"/>
    <w:rsid w:val="6BE823D5"/>
    <w:rsid w:val="6BEA5A68"/>
    <w:rsid w:val="6BF61704"/>
    <w:rsid w:val="6C042224"/>
    <w:rsid w:val="6C0A63C3"/>
    <w:rsid w:val="6C2216A6"/>
    <w:rsid w:val="6C472ABC"/>
    <w:rsid w:val="6C4B7004"/>
    <w:rsid w:val="6C5A5A5F"/>
    <w:rsid w:val="6C5B1EBD"/>
    <w:rsid w:val="6C6F2885"/>
    <w:rsid w:val="6C733E2B"/>
    <w:rsid w:val="6C746882"/>
    <w:rsid w:val="6C7575F2"/>
    <w:rsid w:val="6C8D08A5"/>
    <w:rsid w:val="6C8E26E7"/>
    <w:rsid w:val="6C932A49"/>
    <w:rsid w:val="6C941D83"/>
    <w:rsid w:val="6CA052D0"/>
    <w:rsid w:val="6CB40E26"/>
    <w:rsid w:val="6CB550D0"/>
    <w:rsid w:val="6CCA5062"/>
    <w:rsid w:val="6CCD4BB0"/>
    <w:rsid w:val="6CCD70C9"/>
    <w:rsid w:val="6CD015D5"/>
    <w:rsid w:val="6CD72490"/>
    <w:rsid w:val="6CEE6961"/>
    <w:rsid w:val="6CF85136"/>
    <w:rsid w:val="6D012F3F"/>
    <w:rsid w:val="6D0914F3"/>
    <w:rsid w:val="6D1E02C7"/>
    <w:rsid w:val="6D2532FC"/>
    <w:rsid w:val="6D3E62CA"/>
    <w:rsid w:val="6D4516F4"/>
    <w:rsid w:val="6D517180"/>
    <w:rsid w:val="6D6253FC"/>
    <w:rsid w:val="6D812FF6"/>
    <w:rsid w:val="6D8D0D21"/>
    <w:rsid w:val="6D8E029C"/>
    <w:rsid w:val="6D9155DA"/>
    <w:rsid w:val="6D930CA7"/>
    <w:rsid w:val="6D9C6065"/>
    <w:rsid w:val="6DA1092A"/>
    <w:rsid w:val="6DAF18B3"/>
    <w:rsid w:val="6DB12CE1"/>
    <w:rsid w:val="6DB74357"/>
    <w:rsid w:val="6DBD1686"/>
    <w:rsid w:val="6DC97D73"/>
    <w:rsid w:val="6DCA1F25"/>
    <w:rsid w:val="6DD60019"/>
    <w:rsid w:val="6DD67B8B"/>
    <w:rsid w:val="6DD95352"/>
    <w:rsid w:val="6DE52384"/>
    <w:rsid w:val="6DF90DFC"/>
    <w:rsid w:val="6DFD4612"/>
    <w:rsid w:val="6E142F1D"/>
    <w:rsid w:val="6E1537A0"/>
    <w:rsid w:val="6E254338"/>
    <w:rsid w:val="6E28207D"/>
    <w:rsid w:val="6E2D2FF9"/>
    <w:rsid w:val="6E594222"/>
    <w:rsid w:val="6E5C309F"/>
    <w:rsid w:val="6E6A3607"/>
    <w:rsid w:val="6E6D696E"/>
    <w:rsid w:val="6E7853F6"/>
    <w:rsid w:val="6E825E5F"/>
    <w:rsid w:val="6E9C26BD"/>
    <w:rsid w:val="6E9C4B83"/>
    <w:rsid w:val="6EA73BFE"/>
    <w:rsid w:val="6EAF0B15"/>
    <w:rsid w:val="6EB760D5"/>
    <w:rsid w:val="6EB90E36"/>
    <w:rsid w:val="6EBC2580"/>
    <w:rsid w:val="6EBE36CF"/>
    <w:rsid w:val="6ECB10CA"/>
    <w:rsid w:val="6EE07BD2"/>
    <w:rsid w:val="6EF81299"/>
    <w:rsid w:val="6EF82C3D"/>
    <w:rsid w:val="6F0B400A"/>
    <w:rsid w:val="6F0C0630"/>
    <w:rsid w:val="6F103D8D"/>
    <w:rsid w:val="6F152BBA"/>
    <w:rsid w:val="6F162F5F"/>
    <w:rsid w:val="6F1B7CE3"/>
    <w:rsid w:val="6F2D18A9"/>
    <w:rsid w:val="6F2D369B"/>
    <w:rsid w:val="6F3972B7"/>
    <w:rsid w:val="6F3F78B1"/>
    <w:rsid w:val="6F455CC3"/>
    <w:rsid w:val="6F476B4F"/>
    <w:rsid w:val="6F4B2CC1"/>
    <w:rsid w:val="6F4E18C9"/>
    <w:rsid w:val="6F5E2D51"/>
    <w:rsid w:val="6F654D46"/>
    <w:rsid w:val="6F67314C"/>
    <w:rsid w:val="6F786B62"/>
    <w:rsid w:val="6F79609F"/>
    <w:rsid w:val="6FA505FC"/>
    <w:rsid w:val="6FA62621"/>
    <w:rsid w:val="6FA76A73"/>
    <w:rsid w:val="6FB715E2"/>
    <w:rsid w:val="6FCB7806"/>
    <w:rsid w:val="6FD1742E"/>
    <w:rsid w:val="6FD7471C"/>
    <w:rsid w:val="6FDE6B6E"/>
    <w:rsid w:val="6FDF026D"/>
    <w:rsid w:val="6FEA399E"/>
    <w:rsid w:val="7006096B"/>
    <w:rsid w:val="701641A2"/>
    <w:rsid w:val="70283FC3"/>
    <w:rsid w:val="702C16AA"/>
    <w:rsid w:val="70340726"/>
    <w:rsid w:val="704020FA"/>
    <w:rsid w:val="704D1D0F"/>
    <w:rsid w:val="705D3281"/>
    <w:rsid w:val="70616818"/>
    <w:rsid w:val="70633D0A"/>
    <w:rsid w:val="70707670"/>
    <w:rsid w:val="70716711"/>
    <w:rsid w:val="70742502"/>
    <w:rsid w:val="708E545B"/>
    <w:rsid w:val="7092119B"/>
    <w:rsid w:val="709A4377"/>
    <w:rsid w:val="70A55075"/>
    <w:rsid w:val="70B4621D"/>
    <w:rsid w:val="70BC6081"/>
    <w:rsid w:val="70BF66DA"/>
    <w:rsid w:val="70C75131"/>
    <w:rsid w:val="70C85F1F"/>
    <w:rsid w:val="70D067FD"/>
    <w:rsid w:val="7101398C"/>
    <w:rsid w:val="71026B11"/>
    <w:rsid w:val="710D2A72"/>
    <w:rsid w:val="712343F2"/>
    <w:rsid w:val="714A38FD"/>
    <w:rsid w:val="715D1B55"/>
    <w:rsid w:val="71616006"/>
    <w:rsid w:val="71693683"/>
    <w:rsid w:val="7179160D"/>
    <w:rsid w:val="71AF3F93"/>
    <w:rsid w:val="71B07ED2"/>
    <w:rsid w:val="71C024A4"/>
    <w:rsid w:val="71C0422E"/>
    <w:rsid w:val="71D310CC"/>
    <w:rsid w:val="71E93A9B"/>
    <w:rsid w:val="71EA22FB"/>
    <w:rsid w:val="71EC3D52"/>
    <w:rsid w:val="71EF4705"/>
    <w:rsid w:val="71F475B7"/>
    <w:rsid w:val="71FA3BFD"/>
    <w:rsid w:val="720A3657"/>
    <w:rsid w:val="720C2385"/>
    <w:rsid w:val="720C432D"/>
    <w:rsid w:val="72123494"/>
    <w:rsid w:val="72292596"/>
    <w:rsid w:val="722D3F3D"/>
    <w:rsid w:val="723135AB"/>
    <w:rsid w:val="72361824"/>
    <w:rsid w:val="724E5212"/>
    <w:rsid w:val="72536EB7"/>
    <w:rsid w:val="72574839"/>
    <w:rsid w:val="726915C0"/>
    <w:rsid w:val="726919E2"/>
    <w:rsid w:val="727053A4"/>
    <w:rsid w:val="72744231"/>
    <w:rsid w:val="727B5A5F"/>
    <w:rsid w:val="72980536"/>
    <w:rsid w:val="729F1849"/>
    <w:rsid w:val="72A1490C"/>
    <w:rsid w:val="72A72BE7"/>
    <w:rsid w:val="72AB763D"/>
    <w:rsid w:val="72B14141"/>
    <w:rsid w:val="72CE230B"/>
    <w:rsid w:val="72D27424"/>
    <w:rsid w:val="72DC0AE9"/>
    <w:rsid w:val="73014E99"/>
    <w:rsid w:val="73016B90"/>
    <w:rsid w:val="730F3052"/>
    <w:rsid w:val="73125FD0"/>
    <w:rsid w:val="73131D48"/>
    <w:rsid w:val="73142AB6"/>
    <w:rsid w:val="73245BD7"/>
    <w:rsid w:val="73371CF2"/>
    <w:rsid w:val="735F23C9"/>
    <w:rsid w:val="73615932"/>
    <w:rsid w:val="736F4634"/>
    <w:rsid w:val="73721EA0"/>
    <w:rsid w:val="73747590"/>
    <w:rsid w:val="737978DD"/>
    <w:rsid w:val="737F260B"/>
    <w:rsid w:val="738877C9"/>
    <w:rsid w:val="73903103"/>
    <w:rsid w:val="739554FD"/>
    <w:rsid w:val="73A80AF8"/>
    <w:rsid w:val="73B64C06"/>
    <w:rsid w:val="73BA3498"/>
    <w:rsid w:val="73C211D9"/>
    <w:rsid w:val="73D07467"/>
    <w:rsid w:val="73E442FD"/>
    <w:rsid w:val="73EF6311"/>
    <w:rsid w:val="7405670D"/>
    <w:rsid w:val="74056904"/>
    <w:rsid w:val="741E5343"/>
    <w:rsid w:val="743943FD"/>
    <w:rsid w:val="743A2140"/>
    <w:rsid w:val="743B3E22"/>
    <w:rsid w:val="74583985"/>
    <w:rsid w:val="74671085"/>
    <w:rsid w:val="7469541B"/>
    <w:rsid w:val="747545F3"/>
    <w:rsid w:val="747B7229"/>
    <w:rsid w:val="748D1056"/>
    <w:rsid w:val="749B419D"/>
    <w:rsid w:val="74B35591"/>
    <w:rsid w:val="74BE1A94"/>
    <w:rsid w:val="74C524D5"/>
    <w:rsid w:val="74C94FAB"/>
    <w:rsid w:val="74CB5557"/>
    <w:rsid w:val="74CC07F7"/>
    <w:rsid w:val="74CD1008"/>
    <w:rsid w:val="74CD466E"/>
    <w:rsid w:val="74CE1152"/>
    <w:rsid w:val="74D55DC2"/>
    <w:rsid w:val="74D70892"/>
    <w:rsid w:val="74F06AFF"/>
    <w:rsid w:val="74F4582E"/>
    <w:rsid w:val="750B1136"/>
    <w:rsid w:val="751A7EE5"/>
    <w:rsid w:val="752120DE"/>
    <w:rsid w:val="75220361"/>
    <w:rsid w:val="75271B85"/>
    <w:rsid w:val="752D4797"/>
    <w:rsid w:val="75302430"/>
    <w:rsid w:val="75365D86"/>
    <w:rsid w:val="7542366D"/>
    <w:rsid w:val="75434ADF"/>
    <w:rsid w:val="754C32EF"/>
    <w:rsid w:val="75584003"/>
    <w:rsid w:val="75623AF1"/>
    <w:rsid w:val="75631673"/>
    <w:rsid w:val="75700B9D"/>
    <w:rsid w:val="75712478"/>
    <w:rsid w:val="75767E3F"/>
    <w:rsid w:val="75797B36"/>
    <w:rsid w:val="75835B51"/>
    <w:rsid w:val="75997497"/>
    <w:rsid w:val="75B712DB"/>
    <w:rsid w:val="75BA14A4"/>
    <w:rsid w:val="75CA4DF3"/>
    <w:rsid w:val="75CB2C18"/>
    <w:rsid w:val="75D50D07"/>
    <w:rsid w:val="75F42270"/>
    <w:rsid w:val="76095CCE"/>
    <w:rsid w:val="76103E16"/>
    <w:rsid w:val="76116C35"/>
    <w:rsid w:val="76150692"/>
    <w:rsid w:val="761B3861"/>
    <w:rsid w:val="7626048C"/>
    <w:rsid w:val="76371473"/>
    <w:rsid w:val="7640737E"/>
    <w:rsid w:val="764A70D7"/>
    <w:rsid w:val="764D6766"/>
    <w:rsid w:val="76504F0F"/>
    <w:rsid w:val="765171D8"/>
    <w:rsid w:val="76560F29"/>
    <w:rsid w:val="76713593"/>
    <w:rsid w:val="767B1AD1"/>
    <w:rsid w:val="76804AB5"/>
    <w:rsid w:val="76845213"/>
    <w:rsid w:val="768F16E6"/>
    <w:rsid w:val="76954024"/>
    <w:rsid w:val="769E7DAB"/>
    <w:rsid w:val="769E7FF5"/>
    <w:rsid w:val="76AD21B7"/>
    <w:rsid w:val="76BE1FCB"/>
    <w:rsid w:val="76BF24DE"/>
    <w:rsid w:val="76C02839"/>
    <w:rsid w:val="76CD57CE"/>
    <w:rsid w:val="76EE0585"/>
    <w:rsid w:val="76F62789"/>
    <w:rsid w:val="76F67243"/>
    <w:rsid w:val="77004AF4"/>
    <w:rsid w:val="770551D1"/>
    <w:rsid w:val="77112FEB"/>
    <w:rsid w:val="771E6609"/>
    <w:rsid w:val="771F15FE"/>
    <w:rsid w:val="77296E5B"/>
    <w:rsid w:val="774B2E4F"/>
    <w:rsid w:val="77591A23"/>
    <w:rsid w:val="77596CD6"/>
    <w:rsid w:val="77675DE6"/>
    <w:rsid w:val="776B1342"/>
    <w:rsid w:val="776F3B87"/>
    <w:rsid w:val="777869AC"/>
    <w:rsid w:val="777B6495"/>
    <w:rsid w:val="77843D52"/>
    <w:rsid w:val="77984799"/>
    <w:rsid w:val="779B724B"/>
    <w:rsid w:val="779D6649"/>
    <w:rsid w:val="77BB7A93"/>
    <w:rsid w:val="77C50867"/>
    <w:rsid w:val="77CF02CF"/>
    <w:rsid w:val="77CF6588"/>
    <w:rsid w:val="77E32435"/>
    <w:rsid w:val="77ED1461"/>
    <w:rsid w:val="77F47058"/>
    <w:rsid w:val="77FD01ED"/>
    <w:rsid w:val="781A07A8"/>
    <w:rsid w:val="781B77CB"/>
    <w:rsid w:val="7825091B"/>
    <w:rsid w:val="783E36BD"/>
    <w:rsid w:val="784422A3"/>
    <w:rsid w:val="784907D0"/>
    <w:rsid w:val="784C3D32"/>
    <w:rsid w:val="784F1CCD"/>
    <w:rsid w:val="78520C3F"/>
    <w:rsid w:val="78634C1B"/>
    <w:rsid w:val="786A3170"/>
    <w:rsid w:val="787769DB"/>
    <w:rsid w:val="787F7F5D"/>
    <w:rsid w:val="7886411D"/>
    <w:rsid w:val="78867782"/>
    <w:rsid w:val="7888534D"/>
    <w:rsid w:val="78885BD6"/>
    <w:rsid w:val="788A6E6D"/>
    <w:rsid w:val="78916E3B"/>
    <w:rsid w:val="7897352B"/>
    <w:rsid w:val="78AA5AED"/>
    <w:rsid w:val="78AE276F"/>
    <w:rsid w:val="78B42725"/>
    <w:rsid w:val="78CF6381"/>
    <w:rsid w:val="78D20DEC"/>
    <w:rsid w:val="78E7022D"/>
    <w:rsid w:val="78F06998"/>
    <w:rsid w:val="78F97A52"/>
    <w:rsid w:val="78FC5985"/>
    <w:rsid w:val="790459D4"/>
    <w:rsid w:val="791530A5"/>
    <w:rsid w:val="79221ACD"/>
    <w:rsid w:val="792A6E9D"/>
    <w:rsid w:val="792D3C1F"/>
    <w:rsid w:val="794302FC"/>
    <w:rsid w:val="7946448F"/>
    <w:rsid w:val="794D1D7A"/>
    <w:rsid w:val="795013C6"/>
    <w:rsid w:val="795A09C1"/>
    <w:rsid w:val="795F1B2D"/>
    <w:rsid w:val="796F1C36"/>
    <w:rsid w:val="797B2DA6"/>
    <w:rsid w:val="79857C4E"/>
    <w:rsid w:val="798E26DB"/>
    <w:rsid w:val="799851AE"/>
    <w:rsid w:val="79AF30EA"/>
    <w:rsid w:val="79B713F5"/>
    <w:rsid w:val="79BC0673"/>
    <w:rsid w:val="79BE4BAA"/>
    <w:rsid w:val="79D53D08"/>
    <w:rsid w:val="79D85F74"/>
    <w:rsid w:val="79FD4EAF"/>
    <w:rsid w:val="7A221F30"/>
    <w:rsid w:val="7A245A05"/>
    <w:rsid w:val="7A2E4784"/>
    <w:rsid w:val="7A440CF1"/>
    <w:rsid w:val="7A51253F"/>
    <w:rsid w:val="7A5945E3"/>
    <w:rsid w:val="7A5D3456"/>
    <w:rsid w:val="7A5D61CD"/>
    <w:rsid w:val="7A5E7D4D"/>
    <w:rsid w:val="7A697EBD"/>
    <w:rsid w:val="7A89551C"/>
    <w:rsid w:val="7A95625B"/>
    <w:rsid w:val="7A9638DD"/>
    <w:rsid w:val="7A964913"/>
    <w:rsid w:val="7AAA11E4"/>
    <w:rsid w:val="7AAC0B30"/>
    <w:rsid w:val="7AAE2488"/>
    <w:rsid w:val="7AB97B90"/>
    <w:rsid w:val="7AC40367"/>
    <w:rsid w:val="7ADB2209"/>
    <w:rsid w:val="7ADD231B"/>
    <w:rsid w:val="7AE05908"/>
    <w:rsid w:val="7AF16292"/>
    <w:rsid w:val="7AF67779"/>
    <w:rsid w:val="7AFD47DA"/>
    <w:rsid w:val="7B010E4B"/>
    <w:rsid w:val="7B133A4F"/>
    <w:rsid w:val="7B1717C9"/>
    <w:rsid w:val="7B310C29"/>
    <w:rsid w:val="7B396E35"/>
    <w:rsid w:val="7B4B4433"/>
    <w:rsid w:val="7B6A3DF4"/>
    <w:rsid w:val="7B700809"/>
    <w:rsid w:val="7B712812"/>
    <w:rsid w:val="7B8A5BF2"/>
    <w:rsid w:val="7B913F02"/>
    <w:rsid w:val="7B9A3EC6"/>
    <w:rsid w:val="7B9B7DC8"/>
    <w:rsid w:val="7B9E291C"/>
    <w:rsid w:val="7B9E2B0E"/>
    <w:rsid w:val="7BC260B9"/>
    <w:rsid w:val="7BD007D6"/>
    <w:rsid w:val="7BD01D9C"/>
    <w:rsid w:val="7BDB7E43"/>
    <w:rsid w:val="7BE23213"/>
    <w:rsid w:val="7BEB32A0"/>
    <w:rsid w:val="7BEB34DB"/>
    <w:rsid w:val="7BEE0B05"/>
    <w:rsid w:val="7BEF30E0"/>
    <w:rsid w:val="7BF12E4E"/>
    <w:rsid w:val="7BFC106B"/>
    <w:rsid w:val="7C0D0619"/>
    <w:rsid w:val="7C112ED8"/>
    <w:rsid w:val="7C270EF8"/>
    <w:rsid w:val="7C3649FC"/>
    <w:rsid w:val="7C3809D6"/>
    <w:rsid w:val="7C4A4532"/>
    <w:rsid w:val="7C4D60E9"/>
    <w:rsid w:val="7C5B4759"/>
    <w:rsid w:val="7C6465A3"/>
    <w:rsid w:val="7C691C68"/>
    <w:rsid w:val="7C705B15"/>
    <w:rsid w:val="7C767A9C"/>
    <w:rsid w:val="7CB26565"/>
    <w:rsid w:val="7CB767EF"/>
    <w:rsid w:val="7CD1155D"/>
    <w:rsid w:val="7CF130FA"/>
    <w:rsid w:val="7CFB252B"/>
    <w:rsid w:val="7CFC380D"/>
    <w:rsid w:val="7D0F2244"/>
    <w:rsid w:val="7D122927"/>
    <w:rsid w:val="7D1368F4"/>
    <w:rsid w:val="7D155A92"/>
    <w:rsid w:val="7D1B480B"/>
    <w:rsid w:val="7D1D34B3"/>
    <w:rsid w:val="7D2C6EAF"/>
    <w:rsid w:val="7D3D6515"/>
    <w:rsid w:val="7D652012"/>
    <w:rsid w:val="7D7504F2"/>
    <w:rsid w:val="7D7A30EF"/>
    <w:rsid w:val="7D7E2937"/>
    <w:rsid w:val="7DAC1FAC"/>
    <w:rsid w:val="7DCC1C19"/>
    <w:rsid w:val="7DCD2948"/>
    <w:rsid w:val="7DE815DC"/>
    <w:rsid w:val="7DED1B13"/>
    <w:rsid w:val="7DFF1EEC"/>
    <w:rsid w:val="7E006343"/>
    <w:rsid w:val="7E523131"/>
    <w:rsid w:val="7E5E2A54"/>
    <w:rsid w:val="7E5E51A4"/>
    <w:rsid w:val="7E69339B"/>
    <w:rsid w:val="7E6B6A26"/>
    <w:rsid w:val="7E6E029E"/>
    <w:rsid w:val="7E6E67C6"/>
    <w:rsid w:val="7E7555ED"/>
    <w:rsid w:val="7E76392B"/>
    <w:rsid w:val="7E7E0B2F"/>
    <w:rsid w:val="7E822E76"/>
    <w:rsid w:val="7E82620A"/>
    <w:rsid w:val="7E8A7D30"/>
    <w:rsid w:val="7EA475C3"/>
    <w:rsid w:val="7EC801CA"/>
    <w:rsid w:val="7ED0114D"/>
    <w:rsid w:val="7EE378B4"/>
    <w:rsid w:val="7F0C291C"/>
    <w:rsid w:val="7F111F0A"/>
    <w:rsid w:val="7F1F3E3D"/>
    <w:rsid w:val="7F2059D2"/>
    <w:rsid w:val="7F355145"/>
    <w:rsid w:val="7F400355"/>
    <w:rsid w:val="7F47061E"/>
    <w:rsid w:val="7F47281E"/>
    <w:rsid w:val="7F491A74"/>
    <w:rsid w:val="7F492DD9"/>
    <w:rsid w:val="7F545082"/>
    <w:rsid w:val="7F617D5D"/>
    <w:rsid w:val="7F745FC2"/>
    <w:rsid w:val="7F751C63"/>
    <w:rsid w:val="7F7A1229"/>
    <w:rsid w:val="7F807535"/>
    <w:rsid w:val="7F8652FA"/>
    <w:rsid w:val="7F8C6E6D"/>
    <w:rsid w:val="7FD262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7">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0"/>
      <w:ind w:left="360" w:firstLine="360"/>
    </w:pPr>
  </w:style>
  <w:style w:type="paragraph" w:styleId="3">
    <w:name w:val="Body Text Indent"/>
    <w:basedOn w:val="1"/>
    <w:next w:val="4"/>
    <w:link w:val="27"/>
    <w:qFormat/>
    <w:uiPriority w:val="0"/>
    <w:pPr>
      <w:spacing w:after="120"/>
      <w:ind w:left="420" w:leftChars="200"/>
    </w:pPr>
    <w:rPr>
      <w:kern w:val="0"/>
      <w:sz w:val="20"/>
      <w:szCs w:val="21"/>
    </w:rPr>
  </w:style>
  <w:style w:type="paragraph" w:styleId="4">
    <w:name w:val="Normal Indent"/>
    <w:basedOn w:val="1"/>
    <w:next w:val="1"/>
    <w:unhideWhenUsed/>
    <w:qFormat/>
    <w:uiPriority w:val="99"/>
    <w:pPr>
      <w:ind w:firstLine="420" w:firstLineChars="200"/>
    </w:pPr>
  </w:style>
  <w:style w:type="paragraph" w:styleId="5">
    <w:name w:val="Body Text"/>
    <w:basedOn w:val="1"/>
    <w:next w:val="1"/>
    <w:unhideWhenUsed/>
    <w:qFormat/>
    <w:uiPriority w:val="99"/>
    <w:pPr>
      <w:spacing w:before="120" w:after="120"/>
    </w:pPr>
  </w:style>
  <w:style w:type="paragraph" w:styleId="8">
    <w:name w:val="Document Map"/>
    <w:basedOn w:val="1"/>
    <w:link w:val="25"/>
    <w:qFormat/>
    <w:uiPriority w:val="0"/>
    <w:rPr>
      <w:rFonts w:ascii="宋体"/>
      <w:sz w:val="18"/>
      <w:szCs w:val="18"/>
    </w:rPr>
  </w:style>
  <w:style w:type="paragraph" w:styleId="9">
    <w:name w:val="annotation text"/>
    <w:basedOn w:val="1"/>
    <w:link w:val="26"/>
    <w:qFormat/>
    <w:uiPriority w:val="0"/>
    <w:pPr>
      <w:jc w:val="left"/>
    </w:pPr>
  </w:style>
  <w:style w:type="paragraph" w:styleId="10">
    <w:name w:val="Block Text"/>
    <w:basedOn w:val="1"/>
    <w:qFormat/>
    <w:uiPriority w:val="0"/>
    <w:pPr>
      <w:widowControl/>
      <w:ind w:left="-929" w:leftChars="-387" w:right="-751" w:rightChars="-313"/>
      <w:jc w:val="left"/>
    </w:pPr>
    <w:rPr>
      <w:rFonts w:ascii="宋体" w:hAnsi="宋体"/>
      <w:kern w:val="0"/>
    </w:rPr>
  </w:style>
  <w:style w:type="paragraph" w:styleId="11">
    <w:name w:val="Balloon Text"/>
    <w:basedOn w:val="1"/>
    <w:link w:val="28"/>
    <w:unhideWhenUsed/>
    <w:qFormat/>
    <w:uiPriority w:val="0"/>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sz w:val="24"/>
    </w:rPr>
  </w:style>
  <w:style w:type="paragraph" w:styleId="15">
    <w:name w:val="Title"/>
    <w:basedOn w:val="1"/>
    <w:next w:val="1"/>
    <w:link w:val="31"/>
    <w:qFormat/>
    <w:uiPriority w:val="0"/>
    <w:pPr>
      <w:spacing w:before="240" w:after="60"/>
      <w:jc w:val="center"/>
      <w:outlineLvl w:val="0"/>
    </w:pPr>
    <w:rPr>
      <w:rFonts w:ascii="Cambria" w:hAnsi="Cambria" w:eastAsia="楷体_GB2312"/>
      <w:b/>
      <w:bCs/>
      <w:kern w:val="0"/>
      <w:sz w:val="32"/>
      <w:szCs w:val="32"/>
    </w:rPr>
  </w:style>
  <w:style w:type="paragraph" w:styleId="16">
    <w:name w:val="annotation subject"/>
    <w:basedOn w:val="9"/>
    <w:next w:val="9"/>
    <w:link w:val="32"/>
    <w:qFormat/>
    <w:uiPriority w:val="0"/>
    <w:rPr>
      <w:b/>
      <w:bCs/>
    </w:rPr>
  </w:style>
  <w:style w:type="character" w:styleId="19">
    <w:name w:val="Strong"/>
    <w:qFormat/>
    <w:uiPriority w:val="0"/>
    <w:rPr>
      <w:b/>
      <w:bCs/>
    </w:r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标题 1 字符"/>
    <w:link w:val="6"/>
    <w:qFormat/>
    <w:uiPriority w:val="0"/>
    <w:rPr>
      <w:rFonts w:ascii="Times New Roman" w:hAnsi="Times New Roman" w:eastAsia="宋体" w:cs="Times New Roman"/>
      <w:b/>
      <w:bCs/>
      <w:kern w:val="44"/>
      <w:sz w:val="44"/>
      <w:szCs w:val="44"/>
    </w:rPr>
  </w:style>
  <w:style w:type="character" w:customStyle="1" w:styleId="24">
    <w:name w:val="标题 3 字符"/>
    <w:link w:val="7"/>
    <w:qFormat/>
    <w:uiPriority w:val="0"/>
    <w:rPr>
      <w:rFonts w:ascii="Times New Roman" w:hAnsi="Times New Roman" w:eastAsia="宋体" w:cs="Times New Roman"/>
      <w:b/>
      <w:bCs/>
      <w:sz w:val="32"/>
      <w:szCs w:val="32"/>
    </w:rPr>
  </w:style>
  <w:style w:type="character" w:customStyle="1" w:styleId="25">
    <w:name w:val="文档结构图 字符"/>
    <w:link w:val="8"/>
    <w:qFormat/>
    <w:uiPriority w:val="0"/>
    <w:rPr>
      <w:rFonts w:ascii="宋体" w:hAnsi="Times New Roman" w:eastAsia="宋体" w:cs="Times New Roman"/>
      <w:sz w:val="18"/>
      <w:szCs w:val="18"/>
    </w:rPr>
  </w:style>
  <w:style w:type="character" w:customStyle="1" w:styleId="26">
    <w:name w:val="批注文字 字符"/>
    <w:link w:val="9"/>
    <w:qFormat/>
    <w:uiPriority w:val="0"/>
    <w:rPr>
      <w:rFonts w:ascii="Times New Roman" w:hAnsi="Times New Roman" w:eastAsia="宋体" w:cs="Times New Roman"/>
      <w:szCs w:val="24"/>
    </w:rPr>
  </w:style>
  <w:style w:type="character" w:customStyle="1" w:styleId="27">
    <w:name w:val="正文文本缩进 字符1"/>
    <w:link w:val="3"/>
    <w:qFormat/>
    <w:uiPriority w:val="0"/>
    <w:rPr>
      <w:rFonts w:ascii="Times New Roman" w:hAnsi="Times New Roman" w:eastAsia="宋体" w:cs="Times New Roman"/>
      <w:szCs w:val="21"/>
    </w:rPr>
  </w:style>
  <w:style w:type="character" w:customStyle="1" w:styleId="28">
    <w:name w:val="批注框文本 字符"/>
    <w:link w:val="11"/>
    <w:semiHidden/>
    <w:qFormat/>
    <w:uiPriority w:val="99"/>
    <w:rPr>
      <w:rFonts w:ascii="Times New Roman" w:hAnsi="Times New Roman" w:eastAsia="宋体" w:cs="Times New Roman"/>
      <w:sz w:val="18"/>
      <w:szCs w:val="18"/>
    </w:rPr>
  </w:style>
  <w:style w:type="character" w:customStyle="1" w:styleId="29">
    <w:name w:val="页脚 字符"/>
    <w:link w:val="12"/>
    <w:qFormat/>
    <w:uiPriority w:val="99"/>
    <w:rPr>
      <w:rFonts w:ascii="Times New Roman" w:hAnsi="Times New Roman" w:eastAsia="宋体" w:cs="Times New Roman"/>
      <w:sz w:val="18"/>
      <w:szCs w:val="18"/>
    </w:rPr>
  </w:style>
  <w:style w:type="character" w:customStyle="1" w:styleId="30">
    <w:name w:val="页眉 字符"/>
    <w:link w:val="13"/>
    <w:qFormat/>
    <w:uiPriority w:val="0"/>
    <w:rPr>
      <w:rFonts w:ascii="Times New Roman" w:hAnsi="Times New Roman" w:eastAsia="宋体" w:cs="Times New Roman"/>
      <w:sz w:val="18"/>
      <w:szCs w:val="18"/>
    </w:rPr>
  </w:style>
  <w:style w:type="character" w:customStyle="1" w:styleId="31">
    <w:name w:val="标题 字符"/>
    <w:link w:val="15"/>
    <w:qFormat/>
    <w:uiPriority w:val="0"/>
    <w:rPr>
      <w:rFonts w:ascii="Cambria" w:hAnsi="Cambria" w:eastAsia="楷体_GB2312" w:cs="Times New Roman"/>
      <w:b/>
      <w:bCs/>
      <w:kern w:val="0"/>
      <w:sz w:val="32"/>
      <w:szCs w:val="32"/>
    </w:rPr>
  </w:style>
  <w:style w:type="character" w:customStyle="1" w:styleId="32">
    <w:name w:val="批注主题 字符"/>
    <w:link w:val="16"/>
    <w:qFormat/>
    <w:uiPriority w:val="0"/>
    <w:rPr>
      <w:rFonts w:ascii="Times New Roman" w:hAnsi="Times New Roman" w:eastAsia="宋体" w:cs="Times New Roman"/>
      <w:b/>
      <w:bCs/>
      <w:szCs w:val="24"/>
    </w:rPr>
  </w:style>
  <w:style w:type="character" w:customStyle="1" w:styleId="33">
    <w:name w:val="页脚 Char"/>
    <w:qFormat/>
    <w:locked/>
    <w:uiPriority w:val="99"/>
    <w:rPr>
      <w:rFonts w:cs="Times New Roman"/>
      <w:sz w:val="18"/>
      <w:szCs w:val="18"/>
    </w:rPr>
  </w:style>
  <w:style w:type="character" w:customStyle="1" w:styleId="34">
    <w:name w:val="正文文本缩进 字符"/>
    <w:semiHidden/>
    <w:qFormat/>
    <w:uiPriority w:val="99"/>
    <w:rPr>
      <w:rFonts w:ascii="Times New Roman" w:hAnsi="Times New Roman" w:eastAsia="宋体" w:cs="Times New Roman"/>
      <w:szCs w:val="24"/>
    </w:rPr>
  </w:style>
  <w:style w:type="character" w:customStyle="1" w:styleId="35">
    <w:name w:val="页眉 Char1"/>
    <w:qFormat/>
    <w:locked/>
    <w:uiPriority w:val="99"/>
    <w:rPr>
      <w:rFonts w:cs="Times New Roman"/>
      <w:sz w:val="18"/>
      <w:szCs w:val="18"/>
    </w:rPr>
  </w:style>
  <w:style w:type="paragraph" w:customStyle="1" w:styleId="3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Char Char Char Char Char Char Char"/>
    <w:basedOn w:val="1"/>
    <w:qFormat/>
    <w:uiPriority w:val="0"/>
    <w:rPr>
      <w:rFonts w:ascii="Tahoma" w:hAnsi="Tahoma"/>
      <w:sz w:val="24"/>
      <w:szCs w:val="20"/>
    </w:rPr>
  </w:style>
  <w:style w:type="paragraph" w:customStyle="1" w:styleId="38">
    <w:name w:val="p0"/>
    <w:basedOn w:val="1"/>
    <w:qFormat/>
    <w:uiPriority w:val="0"/>
    <w:pPr>
      <w:widowControl/>
    </w:pPr>
    <w:rPr>
      <w:kern w:val="0"/>
      <w:szCs w:val="21"/>
    </w:rPr>
  </w:style>
  <w:style w:type="paragraph" w:customStyle="1" w:styleId="39">
    <w:name w:val="List Paragraph"/>
    <w:basedOn w:val="1"/>
    <w:qFormat/>
    <w:uiPriority w:val="34"/>
    <w:pPr>
      <w:ind w:firstLine="420" w:firstLineChars="200"/>
    </w:pPr>
  </w:style>
  <w:style w:type="paragraph" w:customStyle="1" w:styleId="40">
    <w:name w:val="列出段落4"/>
    <w:basedOn w:val="1"/>
    <w:qFormat/>
    <w:uiPriority w:val="34"/>
    <w:pPr>
      <w:ind w:firstLine="420" w:firstLineChars="200"/>
    </w:pPr>
  </w:style>
  <w:style w:type="paragraph" w:customStyle="1" w:styleId="41">
    <w:name w:val="列出段落1"/>
    <w:basedOn w:val="1"/>
    <w:qFormat/>
    <w:uiPriority w:val="0"/>
    <w:pPr>
      <w:ind w:firstLine="420" w:firstLineChars="200"/>
    </w:pPr>
    <w:rPr>
      <w:rFonts w:ascii="Calibri" w:hAnsi="Calibri"/>
      <w:szCs w:val="22"/>
    </w:rPr>
  </w:style>
  <w:style w:type="paragraph" w:customStyle="1" w:styleId="42">
    <w:name w:val="特点"/>
    <w:basedOn w:val="1"/>
    <w:next w:val="3"/>
    <w:qFormat/>
    <w:uiPriority w:val="0"/>
    <w:pPr>
      <w:spacing w:line="300" w:lineRule="exact"/>
      <w:ind w:right="26" w:firstLine="435"/>
    </w:pPr>
    <w:rPr>
      <w:rFonts w:eastAsia="黑体"/>
      <w:sz w:val="18"/>
    </w:rPr>
  </w:style>
  <w:style w:type="paragraph" w:customStyle="1" w:styleId="43">
    <w:name w:val="_Style 42"/>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列出段落3"/>
    <w:basedOn w:val="1"/>
    <w:qFormat/>
    <w:uiPriority w:val="34"/>
    <w:pPr>
      <w:ind w:firstLine="420" w:firstLineChars="200"/>
    </w:pPr>
  </w:style>
  <w:style w:type="paragraph" w:customStyle="1" w:styleId="45">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paragraph" w:customStyle="1" w:styleId="46">
    <w:name w:val="列出段落2"/>
    <w:basedOn w:val="1"/>
    <w:qFormat/>
    <w:uiPriority w:val="34"/>
    <w:pPr>
      <w:ind w:firstLine="420" w:firstLineChars="200"/>
    </w:pPr>
  </w:style>
  <w:style w:type="paragraph" w:customStyle="1" w:styleId="47">
    <w:name w:val="修订2"/>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33412</Words>
  <Characters>33911</Characters>
  <Lines>305</Lines>
  <Paragraphs>86</Paragraphs>
  <TotalTime>4</TotalTime>
  <ScaleCrop>false</ScaleCrop>
  <LinksUpToDate>false</LinksUpToDate>
  <CharactersWithSpaces>34060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2023-09-25T11:21:00Z</dcterms:created>
  <dc:creator>Song Cangnan</dc:creator>
  <cp:lastModifiedBy>00031</cp:lastModifiedBy>
  <cp:lastPrinted>2023-09-05T03:59:00Z</cp:lastPrinted>
  <dcterms:modified xsi:type="dcterms:W3CDTF">2026-03-02T08:33:40Z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8B624AE6844D403BA7B143FADBC85DDC</vt:lpwstr>
  </property>
</Properties>
</file>