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绍兴银行理财产品部分资产投资情况公告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理财产品投资于本行主要股东、控股股东、实际控制人、一致行动人、最终受益人发行的证券，或理财产品托管机构、投资合作机构发行或者承销的证券，或者从事其他重大关联交易，符合理财产品的投资目标、投资策略和投资者利益优先原则，按照商业原则，以不优于对非关联方同类交易的条件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2026年3月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，本行理财业务投资于本行主要股东、控股股东、实际控制人、一致行动人、最终受益人发行的证券未发生变动。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截至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2026年3月末，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理财业务投资涉及关联方交易的证券明细如下表所示：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62"/>
        <w:gridCol w:w="1556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证券简称</w:t>
            </w:r>
          </w:p>
        </w:tc>
        <w:tc>
          <w:tcPr>
            <w:tcW w:w="18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融资人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券面</w:t>
            </w:r>
          </w:p>
        </w:tc>
        <w:tc>
          <w:tcPr>
            <w:tcW w:w="10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关联关系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24交行债01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25鹰控02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鹰潭市国有控股集团有限公司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22农业银行永续债01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24光大银行债02</w:t>
            </w:r>
            <w:bookmarkStart w:id="0" w:name="_GoBack"/>
            <w:bookmarkEnd w:id="0"/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21筑富实业MTN001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江苏筑富实业投资有限公司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21秦农农商二级01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陕西秦农农村商业银行股份有限公司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23袍江经开PPN002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绍兴袍江经济技术开发区投资发展集团有限公司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绍兴银行股份有限公司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2026年4月14日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3139"/>
    <w:rsid w:val="01F70EC8"/>
    <w:rsid w:val="04783139"/>
    <w:rsid w:val="081B135A"/>
    <w:rsid w:val="08B72BE7"/>
    <w:rsid w:val="09181006"/>
    <w:rsid w:val="0E021455"/>
    <w:rsid w:val="0F31212C"/>
    <w:rsid w:val="105B33ED"/>
    <w:rsid w:val="1079350E"/>
    <w:rsid w:val="13690E86"/>
    <w:rsid w:val="13911A09"/>
    <w:rsid w:val="14354C47"/>
    <w:rsid w:val="17EF592D"/>
    <w:rsid w:val="19954DBC"/>
    <w:rsid w:val="1B640359"/>
    <w:rsid w:val="1D284A27"/>
    <w:rsid w:val="1E220F32"/>
    <w:rsid w:val="20E873E1"/>
    <w:rsid w:val="25321D0A"/>
    <w:rsid w:val="26621FCB"/>
    <w:rsid w:val="27925857"/>
    <w:rsid w:val="28517057"/>
    <w:rsid w:val="2D387B34"/>
    <w:rsid w:val="2D6A39DC"/>
    <w:rsid w:val="2F6F0D81"/>
    <w:rsid w:val="32C03AD9"/>
    <w:rsid w:val="32DD6684"/>
    <w:rsid w:val="34F110AA"/>
    <w:rsid w:val="39F12212"/>
    <w:rsid w:val="3FDC01D4"/>
    <w:rsid w:val="41EA500C"/>
    <w:rsid w:val="45A34853"/>
    <w:rsid w:val="46B525ED"/>
    <w:rsid w:val="4939068F"/>
    <w:rsid w:val="528D7730"/>
    <w:rsid w:val="537A2F30"/>
    <w:rsid w:val="54BE4715"/>
    <w:rsid w:val="566B2A4D"/>
    <w:rsid w:val="597D6723"/>
    <w:rsid w:val="5B65320A"/>
    <w:rsid w:val="5BA63717"/>
    <w:rsid w:val="5BAE4A53"/>
    <w:rsid w:val="5F52372F"/>
    <w:rsid w:val="609E7B1A"/>
    <w:rsid w:val="622C00D7"/>
    <w:rsid w:val="623D657E"/>
    <w:rsid w:val="64CB59CF"/>
    <w:rsid w:val="668E6EDF"/>
    <w:rsid w:val="67C2075C"/>
    <w:rsid w:val="69742D8D"/>
    <w:rsid w:val="6CA336D3"/>
    <w:rsid w:val="6E603C31"/>
    <w:rsid w:val="6F40201A"/>
    <w:rsid w:val="6FF84E3A"/>
    <w:rsid w:val="72694E1B"/>
    <w:rsid w:val="73EB1BAD"/>
    <w:rsid w:val="7578760E"/>
    <w:rsid w:val="764E3268"/>
    <w:rsid w:val="778B0203"/>
    <w:rsid w:val="78F626A6"/>
    <w:rsid w:val="7AF279BC"/>
    <w:rsid w:val="7C8E6E58"/>
    <w:rsid w:val="7D0F36ED"/>
    <w:rsid w:val="7EC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2022-05-07T08:52:00Z</dcterms:created>
  <dc:creator>胡均辉</dc:creator>
  <cp:lastModifiedBy>孟刚</cp:lastModifiedBy>
  <dcterms:modified xsi:type="dcterms:W3CDTF">2026-04-14T01:13:52Z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AE7413DDFCF9422A9441F30645331400</vt:lpwstr>
  </property>
</Properties>
</file>